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ind w:left="0" w:leftChars="0"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关于做好</w:t>
      </w:r>
      <w:r>
        <w:rPr>
          <w:rFonts w:hint="eastAsia" w:ascii="方正小标宋简体" w:hAnsi="方正小标宋简体" w:eastAsia="方正小标宋简体" w:cs="方正小标宋简体"/>
          <w:b w:val="0"/>
          <w:bCs w:val="0"/>
          <w:sz w:val="44"/>
          <w:szCs w:val="44"/>
          <w:lang w:val="en-US" w:eastAsia="zh-CN"/>
        </w:rPr>
        <w:t>2024年</w:t>
      </w:r>
      <w:r>
        <w:rPr>
          <w:rFonts w:hint="eastAsia" w:ascii="方正小标宋简体" w:hAnsi="方正小标宋简体" w:eastAsia="方正小标宋简体" w:cs="方正小标宋简体"/>
          <w:b w:val="0"/>
          <w:bCs w:val="0"/>
          <w:sz w:val="44"/>
          <w:szCs w:val="44"/>
        </w:rPr>
        <w:t>微专业学生报名工作的通知</w:t>
      </w:r>
    </w:p>
    <w:p>
      <w:pPr>
        <w:keepNext w:val="0"/>
        <w:keepLines w:val="0"/>
        <w:pageBreakBefore w:val="0"/>
        <w:kinsoku/>
        <w:overflowPunct/>
        <w:topLinePunct w:val="0"/>
        <w:autoSpaceDE/>
        <w:autoSpaceDN/>
        <w:bidi w:val="0"/>
        <w:adjustRightInd/>
        <w:snapToGrid/>
        <w:rPr>
          <w:rFonts w:hint="eastAsia" w:ascii="方正小标宋简体" w:hAnsi="方正小标宋简体" w:eastAsia="方正小标宋简体" w:cs="方正小标宋简体"/>
          <w:b w:val="0"/>
          <w:bCs w:val="0"/>
          <w:sz w:val="44"/>
          <w:szCs w:val="44"/>
        </w:rPr>
      </w:pPr>
    </w:p>
    <w:p>
      <w:pPr>
        <w:keepNext w:val="0"/>
        <w:keepLines w:val="0"/>
        <w:pageBreakBefore w:val="0"/>
        <w:kinsoku/>
        <w:overflowPunct/>
        <w:topLinePunct w:val="0"/>
        <w:autoSpaceDE/>
        <w:autoSpaceDN/>
        <w:bidi w:val="0"/>
        <w:adjustRightInd/>
        <w:snapToGrid/>
        <w:ind w:left="0" w:leftChars="0" w:firstLine="0" w:firstLineChars="0"/>
        <w:rPr>
          <w:rFonts w:hint="eastAsia"/>
        </w:rPr>
      </w:pPr>
      <w:r>
        <w:rPr>
          <w:rFonts w:hint="eastAsia"/>
        </w:rPr>
        <w:t>各学院、各位同学：</w:t>
      </w:r>
    </w:p>
    <w:p>
      <w:pPr>
        <w:keepNext w:val="0"/>
        <w:keepLines w:val="0"/>
        <w:pageBreakBefore w:val="0"/>
        <w:widowControl w:val="0"/>
        <w:kinsoku/>
        <w:overflowPunct/>
        <w:topLinePunct w:val="0"/>
        <w:autoSpaceDE/>
        <w:autoSpaceDN/>
        <w:bidi w:val="0"/>
        <w:adjustRightInd/>
        <w:snapToGrid/>
        <w:textAlignment w:val="auto"/>
        <w:rPr>
          <w:rFonts w:hint="eastAsia"/>
        </w:rPr>
      </w:pPr>
      <w:r>
        <w:rPr>
          <w:rFonts w:hint="eastAsia"/>
          <w:lang w:eastAsia="zh-CN"/>
        </w:rPr>
        <w:t>为进一步提升</w:t>
      </w:r>
      <w:r>
        <w:rPr>
          <w:rFonts w:hint="eastAsia"/>
        </w:rPr>
        <w:t>学生跨学科交叉融合能力，</w:t>
      </w:r>
      <w:r>
        <w:rPr>
          <w:rFonts w:hint="eastAsia"/>
          <w:lang w:eastAsia="zh-CN"/>
        </w:rPr>
        <w:t>满足学生个性化发展需求，</w:t>
      </w:r>
      <w:r>
        <w:rPr>
          <w:rFonts w:hint="eastAsia"/>
        </w:rPr>
        <w:t>学校决定启动微专业学生报名工作</w:t>
      </w:r>
      <w:r>
        <w:rPr>
          <w:rFonts w:hint="eastAsia"/>
          <w:lang w:eastAsia="zh-CN"/>
        </w:rPr>
        <w:t>，</w:t>
      </w:r>
      <w:r>
        <w:rPr>
          <w:rFonts w:hint="eastAsia"/>
        </w:rPr>
        <w:t>现将</w:t>
      </w:r>
      <w:r>
        <w:rPr>
          <w:rFonts w:hint="eastAsia"/>
          <w:lang w:eastAsia="zh-CN"/>
        </w:rPr>
        <w:t>具体</w:t>
      </w:r>
      <w:r>
        <w:rPr>
          <w:rFonts w:hint="eastAsia"/>
        </w:rPr>
        <w:t>要求通知如下：</w:t>
      </w:r>
    </w:p>
    <w:p>
      <w:pPr>
        <w:keepNext w:val="0"/>
        <w:keepLines w:val="0"/>
        <w:pageBreakBefore w:val="0"/>
        <w:kinsoku/>
        <w:overflowPunct/>
        <w:topLinePunct w:val="0"/>
        <w:autoSpaceDE/>
        <w:autoSpaceDN/>
        <w:bidi w:val="0"/>
        <w:adjustRightInd/>
        <w:snapToGrid/>
        <w:rPr>
          <w:rFonts w:hint="eastAsia"/>
        </w:rPr>
      </w:pPr>
      <w:r>
        <w:rPr>
          <w:rFonts w:hint="eastAsia" w:ascii="黑体" w:hAnsi="黑体" w:eastAsia="黑体" w:cs="黑体"/>
        </w:rPr>
        <w:t>一</w:t>
      </w:r>
      <w:r>
        <w:rPr>
          <w:rFonts w:hint="eastAsia" w:ascii="黑体" w:hAnsi="黑体" w:eastAsia="黑体" w:cs="黑体"/>
          <w:lang w:eastAsia="zh-CN"/>
        </w:rPr>
        <w:t>、微专业简介</w:t>
      </w:r>
    </w:p>
    <w:p>
      <w:pPr>
        <w:keepNext w:val="0"/>
        <w:keepLines w:val="0"/>
        <w:pageBreakBefore w:val="0"/>
        <w:kinsoku/>
        <w:overflowPunct/>
        <w:topLinePunct w:val="0"/>
        <w:autoSpaceDE/>
        <w:autoSpaceDN/>
        <w:bidi w:val="0"/>
        <w:adjustRightInd/>
        <w:snapToGrid/>
        <w:rPr>
          <w:rFonts w:hint="eastAsia"/>
        </w:rPr>
      </w:pPr>
      <w:r>
        <w:rPr>
          <w:rFonts w:hint="eastAsia"/>
        </w:rPr>
        <w:t>微专业是指在本科专业目录以外</w:t>
      </w:r>
      <w:r>
        <w:rPr>
          <w:rFonts w:hint="eastAsia"/>
          <w:lang w:eastAsia="zh-CN"/>
        </w:rPr>
        <w:t>，</w:t>
      </w:r>
      <w:r>
        <w:rPr>
          <w:rFonts w:hint="eastAsia"/>
        </w:rPr>
        <w:t>围绕某个特定专业领域、研究方向或者核心素养，提炼开设的一组重要课程</w:t>
      </w:r>
      <w:r>
        <w:rPr>
          <w:rFonts w:hint="eastAsia"/>
          <w:lang w:eastAsia="zh-CN"/>
        </w:rPr>
        <w:t>。微专业</w:t>
      </w:r>
      <w:r>
        <w:rPr>
          <w:rFonts w:hint="eastAsia"/>
        </w:rPr>
        <w:t>具有小学分、精课程、高聚焦、跨学科特征，通过灵活、系统的培养，提高学生知识结构的复合性，使学生具备相应的能力素养，提升与社会需求的匹配度。</w:t>
      </w:r>
    </w:p>
    <w:p>
      <w:pPr>
        <w:keepNext w:val="0"/>
        <w:keepLines w:val="0"/>
        <w:pageBreakBefore w:val="0"/>
        <w:kinsoku/>
        <w:overflowPunct/>
        <w:topLinePunct w:val="0"/>
        <w:autoSpaceDE/>
        <w:autoSpaceDN/>
        <w:bidi w:val="0"/>
        <w:adjustRightInd/>
        <w:snapToGrid/>
        <w:rPr>
          <w:rFonts w:hint="eastAsia"/>
        </w:rPr>
      </w:pPr>
      <w:r>
        <w:rPr>
          <w:rFonts w:hint="eastAsia"/>
          <w:lang w:eastAsia="zh-CN"/>
        </w:rPr>
        <w:t>本次</w:t>
      </w:r>
      <w:r>
        <w:rPr>
          <w:rFonts w:hint="eastAsia"/>
        </w:rPr>
        <w:t>全校共有</w:t>
      </w:r>
      <w:r>
        <w:rPr>
          <w:rFonts w:hint="eastAsia"/>
          <w:lang w:val="en-US" w:eastAsia="zh-CN"/>
        </w:rPr>
        <w:t>15</w:t>
      </w:r>
      <w:r>
        <w:rPr>
          <w:rFonts w:hint="eastAsia"/>
        </w:rPr>
        <w:t>个微专业启动招生</w:t>
      </w:r>
      <w:r>
        <w:rPr>
          <w:rFonts w:hint="eastAsia"/>
          <w:lang w:eastAsia="zh-CN"/>
        </w:rPr>
        <w:t>（详见表</w:t>
      </w:r>
      <w:r>
        <w:rPr>
          <w:rFonts w:hint="eastAsia"/>
          <w:lang w:val="en-US" w:eastAsia="zh-CN"/>
        </w:rPr>
        <w:t>1</w:t>
      </w:r>
      <w:r>
        <w:rPr>
          <w:rFonts w:hint="eastAsia"/>
          <w:lang w:eastAsia="zh-CN"/>
        </w:rPr>
        <w:t>）</w:t>
      </w:r>
      <w:r>
        <w:rPr>
          <w:rFonts w:hint="eastAsia"/>
        </w:rPr>
        <w:t>，开课时间为202</w:t>
      </w:r>
      <w:r>
        <w:rPr>
          <w:rFonts w:hint="eastAsia"/>
          <w:lang w:val="en-US" w:eastAsia="zh-CN"/>
        </w:rPr>
        <w:t>4</w:t>
      </w:r>
      <w:r>
        <w:rPr>
          <w:rFonts w:hint="eastAsia"/>
        </w:rPr>
        <w:t>年</w:t>
      </w:r>
      <w:r>
        <w:rPr>
          <w:rFonts w:hint="eastAsia"/>
          <w:lang w:val="en-US" w:eastAsia="zh-CN"/>
        </w:rPr>
        <w:t>4</w:t>
      </w:r>
      <w:r>
        <w:rPr>
          <w:rFonts w:hint="eastAsia"/>
        </w:rPr>
        <w:t>月</w:t>
      </w:r>
      <w:r>
        <w:rPr>
          <w:rFonts w:hint="eastAsia"/>
          <w:lang w:eastAsia="zh-CN"/>
        </w:rPr>
        <w:t>起</w:t>
      </w:r>
      <w:r>
        <w:rPr>
          <w:rFonts w:hint="eastAsia"/>
        </w:rPr>
        <w:t>，</w:t>
      </w:r>
      <w:r>
        <w:rPr>
          <w:rFonts w:hint="eastAsia"/>
          <w:lang w:eastAsia="zh-CN"/>
        </w:rPr>
        <w:t>请点击以下链接查看</w:t>
      </w:r>
      <w:r>
        <w:rPr>
          <w:rFonts w:hint="eastAsia"/>
        </w:rPr>
        <w:t>招生简章及</w:t>
      </w:r>
      <w:r>
        <w:rPr>
          <w:rFonts w:hint="eastAsia"/>
          <w:lang w:eastAsia="zh-CN"/>
        </w:rPr>
        <w:t>课程教学大纲</w:t>
      </w:r>
      <w:r>
        <w:rPr>
          <w:rFonts w:hint="eastAsia"/>
        </w:rPr>
        <w:t>。</w:t>
      </w:r>
    </w:p>
    <w:p>
      <w:pPr>
        <w:pStyle w:val="5"/>
        <w:ind w:left="0" w:leftChars="0" w:firstLine="0" w:firstLineChars="0"/>
        <w:jc w:val="center"/>
        <w:rPr>
          <w:rFonts w:hint="eastAsia" w:eastAsia="仿宋_GB2312"/>
          <w:b/>
          <w:bCs/>
          <w:sz w:val="28"/>
          <w:szCs w:val="18"/>
          <w:lang w:eastAsia="zh-CN"/>
        </w:rPr>
      </w:pPr>
      <w:r>
        <w:rPr>
          <w:rFonts w:hint="eastAsia"/>
          <w:b/>
          <w:bCs/>
          <w:sz w:val="28"/>
          <w:szCs w:val="18"/>
          <w:lang w:eastAsia="zh-CN"/>
        </w:rPr>
        <w:t>表</w:t>
      </w:r>
      <w:r>
        <w:rPr>
          <w:rFonts w:hint="eastAsia"/>
          <w:b/>
          <w:bCs/>
          <w:sz w:val="28"/>
          <w:szCs w:val="18"/>
          <w:lang w:val="en-US" w:eastAsia="zh-CN"/>
        </w:rPr>
        <w:t xml:space="preserve">1. </w:t>
      </w:r>
      <w:r>
        <w:rPr>
          <w:rFonts w:hint="eastAsia" w:eastAsia="仿宋_GB2312"/>
          <w:b/>
          <w:bCs/>
          <w:sz w:val="28"/>
          <w:szCs w:val="18"/>
          <w:lang w:eastAsia="zh-CN"/>
        </w:rPr>
        <w:t>微专业</w:t>
      </w:r>
      <w:r>
        <w:rPr>
          <w:rFonts w:hint="eastAsia"/>
          <w:b/>
          <w:bCs/>
          <w:sz w:val="28"/>
          <w:szCs w:val="18"/>
          <w:lang w:eastAsia="zh-CN"/>
        </w:rPr>
        <w:t>信息一览表</w:t>
      </w:r>
    </w:p>
    <w:tbl>
      <w:tblPr>
        <w:tblStyle w:val="7"/>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2250"/>
        <w:gridCol w:w="1113"/>
        <w:gridCol w:w="418"/>
        <w:gridCol w:w="611"/>
        <w:gridCol w:w="632"/>
        <w:gridCol w:w="771"/>
        <w:gridCol w:w="706"/>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blHeader/>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sz w:val="21"/>
                <w:szCs w:val="21"/>
                <w:vertAlign w:val="baseli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微专业名称</w:t>
            </w:r>
          </w:p>
        </w:tc>
        <w:tc>
          <w:tcPr>
            <w:tcW w:w="11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开设学院</w:t>
            </w:r>
          </w:p>
        </w:tc>
        <w:tc>
          <w:tcPr>
            <w:tcW w:w="41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i w:val="0"/>
                <w:iCs w:val="0"/>
                <w:color w:val="000000"/>
                <w:spacing w:val="-23"/>
                <w:kern w:val="0"/>
                <w:sz w:val="21"/>
                <w:szCs w:val="21"/>
                <w:u w:val="none"/>
                <w:lang w:val="en-US" w:eastAsia="zh-CN" w:bidi="ar"/>
              </w:rPr>
            </w:pPr>
            <w:r>
              <w:rPr>
                <w:rFonts w:hint="eastAsia" w:asciiTheme="minorEastAsia" w:hAnsiTheme="minorEastAsia" w:eastAsiaTheme="minorEastAsia" w:cstheme="minorEastAsia"/>
                <w:b/>
                <w:bCs/>
                <w:i w:val="0"/>
                <w:iCs w:val="0"/>
                <w:color w:val="000000"/>
                <w:spacing w:val="-23"/>
                <w:kern w:val="0"/>
                <w:sz w:val="21"/>
                <w:szCs w:val="21"/>
                <w:u w:val="none"/>
                <w:lang w:val="en-US" w:eastAsia="zh-CN" w:bidi="ar"/>
              </w:rPr>
              <w:t>类别</w:t>
            </w: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t>总</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sz w:val="21"/>
                <w:szCs w:val="21"/>
                <w:highlight w:val="none"/>
                <w:vertAlign w:val="baseline"/>
              </w:rPr>
            </w:pPr>
            <w: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t>学分</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t>课程</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t>门数</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t>授课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spacing w:val="-23"/>
                <w:kern w:val="0"/>
                <w:sz w:val="21"/>
                <w:szCs w:val="21"/>
                <w:highlight w:val="none"/>
                <w:u w:val="none"/>
                <w:lang w:val="en-US" w:eastAsia="zh-CN" w:bidi="ar"/>
              </w:rPr>
              <w:t>学期数</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heme="minorEastAsia" w:hAnsiTheme="minorEastAsia" w:eastAsiaTheme="minorEastAsia" w:cstheme="minorEastAsia"/>
                <w:b/>
                <w:bCs/>
                <w:i w:val="0"/>
                <w:iCs w:val="0"/>
                <w:color w:val="000000"/>
                <w:spacing w:val="-23"/>
                <w:kern w:val="0"/>
                <w:sz w:val="21"/>
                <w:szCs w:val="21"/>
                <w:u w:val="none"/>
                <w:lang w:val="en-US" w:eastAsia="zh-CN" w:bidi="ar"/>
              </w:rPr>
            </w:pPr>
            <w:r>
              <w:rPr>
                <w:rFonts w:hint="eastAsia" w:asciiTheme="minorEastAsia" w:hAnsiTheme="minorEastAsia" w:eastAsiaTheme="minorEastAsia" w:cstheme="minorEastAsia"/>
                <w:b/>
                <w:bCs/>
                <w:i w:val="0"/>
                <w:iCs w:val="0"/>
                <w:color w:val="000000"/>
                <w:spacing w:val="-23"/>
                <w:kern w:val="0"/>
                <w:sz w:val="21"/>
                <w:szCs w:val="21"/>
                <w:u w:val="none"/>
                <w:lang w:val="en-US" w:eastAsia="zh-CN" w:bidi="ar"/>
              </w:rPr>
              <w:t>容量(人)</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heme="minorEastAsia" w:hAnsiTheme="minorEastAsia" w:eastAsiaTheme="minorEastAsia" w:cstheme="minorEastAsia"/>
                <w:b/>
                <w:bCs/>
                <w:spacing w:val="-11"/>
                <w:sz w:val="21"/>
                <w:szCs w:val="21"/>
                <w:vertAlign w:val="baseline"/>
                <w:lang w:val="en-US" w:eastAsia="zh-CN"/>
              </w:rPr>
            </w:pPr>
            <w:r>
              <w:rPr>
                <w:rFonts w:hint="eastAsia" w:asciiTheme="minorEastAsia" w:hAnsiTheme="minorEastAsia" w:eastAsiaTheme="minorEastAsia" w:cstheme="minorEastAsia"/>
                <w:b/>
                <w:bCs/>
                <w:spacing w:val="-11"/>
                <w:sz w:val="21"/>
                <w:szCs w:val="21"/>
                <w:vertAlign w:val="baseline"/>
                <w:lang w:val="en-US" w:eastAsia="zh-CN"/>
              </w:rPr>
              <w:t>招生简章链接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lang w:val="en-US" w:eastAsia="zh-CN"/>
              </w:rPr>
            </w:pPr>
            <w:r>
              <w:rPr>
                <w:rFonts w:hint="eastAsia" w:asciiTheme="minorEastAsia" w:hAnsiTheme="minorEastAsia" w:eastAsiaTheme="minorEastAsia" w:cstheme="minorEastAsia"/>
                <w:b/>
                <w:bCs/>
                <w:spacing w:val="-11"/>
                <w:sz w:val="21"/>
                <w:szCs w:val="21"/>
                <w:vertAlign w:val="baseline"/>
                <w:lang w:val="en-US" w:eastAsia="zh-CN"/>
              </w:rPr>
              <w:t>(含课程教学大纲）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1</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食药用菌科学与工程</w:t>
            </w:r>
          </w:p>
        </w:tc>
        <w:tc>
          <w:tcPr>
            <w:tcW w:w="111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资源与</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化工学院</w:t>
            </w:r>
          </w:p>
        </w:tc>
        <w:tc>
          <w:tcPr>
            <w:tcW w:w="41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理工类</w:t>
            </w: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sz w:val="21"/>
                <w:szCs w:val="21"/>
                <w:highlight w:val="none"/>
                <w:vertAlign w:val="baseline"/>
                <w:lang w:val="en-US"/>
              </w:rPr>
            </w:pPr>
            <w:r>
              <w:rPr>
                <w:rFonts w:hint="eastAsia" w:ascii="宋体" w:hAnsi="宋体" w:eastAsia="宋体" w:cs="宋体"/>
                <w:i w:val="0"/>
                <w:iCs w:val="0"/>
                <w:color w:val="000000"/>
                <w:kern w:val="0"/>
                <w:sz w:val="21"/>
                <w:szCs w:val="21"/>
                <w:highlight w:val="none"/>
                <w:u w:val="none"/>
                <w:lang w:val="en-US" w:eastAsia="zh-CN" w:bidi="ar"/>
              </w:rPr>
              <w:t>15</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6</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http://bt.fjsmu.edu.cn/xnfzsyzx/2024/0326/c1615a151242/page.psp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2</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碳中和技术</w:t>
            </w:r>
          </w:p>
        </w:tc>
        <w:tc>
          <w:tcPr>
            <w:tcW w:w="111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sz w:val="21"/>
                <w:szCs w:val="21"/>
                <w:highlight w:val="none"/>
                <w:vertAlign w:val="baseline"/>
                <w:lang w:val="en-US"/>
              </w:rPr>
            </w:pPr>
            <w:r>
              <w:rPr>
                <w:rFonts w:hint="eastAsia" w:ascii="宋体" w:hAnsi="宋体" w:eastAsia="宋体" w:cs="宋体"/>
                <w:i w:val="0"/>
                <w:iCs w:val="0"/>
                <w:color w:val="000000"/>
                <w:kern w:val="0"/>
                <w:sz w:val="21"/>
                <w:szCs w:val="21"/>
                <w:highlight w:val="none"/>
                <w:u w:val="none"/>
                <w:lang w:val="en-US" w:eastAsia="zh-CN" w:bidi="ar"/>
              </w:rPr>
              <w:t>15</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6</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http://bt.fjsmu.edu.cn/xnfzsyzx/2024/0325/c1615a151171/page.psp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3</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生态环境修复技术</w:t>
            </w:r>
          </w:p>
        </w:tc>
        <w:tc>
          <w:tcPr>
            <w:tcW w:w="111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15</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6</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http://bt.fjsmu.edu.cn/xnfzsyzx/2024/0326/c1615a151298/page.psp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4</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氟新材料设计与应用</w:t>
            </w:r>
          </w:p>
        </w:tc>
        <w:tc>
          <w:tcPr>
            <w:tcW w:w="111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sz w:val="21"/>
                <w:szCs w:val="21"/>
                <w:highlight w:val="none"/>
                <w:vertAlign w:val="baseline"/>
                <w:lang w:val="en-US"/>
              </w:rPr>
            </w:pPr>
            <w:r>
              <w:rPr>
                <w:rFonts w:hint="eastAsia" w:ascii="宋体" w:hAnsi="宋体" w:eastAsia="宋体" w:cs="宋体"/>
                <w:i w:val="0"/>
                <w:iCs w:val="0"/>
                <w:color w:val="000000"/>
                <w:kern w:val="0"/>
                <w:sz w:val="21"/>
                <w:szCs w:val="21"/>
                <w:highlight w:val="none"/>
                <w:u w:val="none"/>
                <w:lang w:val="en-US" w:eastAsia="zh-CN" w:bidi="ar"/>
              </w:rPr>
              <w:t>14</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5</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https://www.smxy.cn/xnfzsyzx/2024/0326/c1615a151301/page.htm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5</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spacing w:val="-6"/>
                <w:kern w:val="0"/>
                <w:sz w:val="21"/>
                <w:szCs w:val="21"/>
                <w:u w:val="none"/>
                <w:lang w:val="en-US" w:eastAsia="zh-CN" w:bidi="ar"/>
              </w:rPr>
              <w:t>新能源智能载货商用车</w:t>
            </w:r>
          </w:p>
        </w:tc>
        <w:tc>
          <w:tcPr>
            <w:tcW w:w="111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机电工程学院</w:t>
            </w: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b w:val="0"/>
                <w:bCs w:val="0"/>
                <w:kern w:val="2"/>
                <w:sz w:val="21"/>
                <w:szCs w:val="21"/>
                <w:highlight w:val="none"/>
                <w:vertAlign w:val="baseli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https://www.fjsmu.edu.cn/jdgcxy/2024/0327/c1474a151328/page.htm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6</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智能制造技术</w:t>
            </w:r>
          </w:p>
        </w:tc>
        <w:tc>
          <w:tcPr>
            <w:tcW w:w="111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12</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6</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https://www.fjsmu.edu.cn/jdgcxy/2024/0327/c1474a151329/page.htm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7</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集成电路（先进封装）</w:t>
            </w:r>
          </w:p>
        </w:tc>
        <w:tc>
          <w:tcPr>
            <w:tcW w:w="111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5"/>
                <w:szCs w:val="15"/>
                <w:u w:val="none"/>
                <w:lang w:val="en-US" w:eastAsia="zh-CN" w:bidi="ar"/>
              </w:rPr>
              <w:t>https://www.fjsmu.edu.cn/jdgcxy/2024/0327/c1474a151327/page.htm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8</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宋体" w:hAnsi="宋体" w:eastAsia="宋体" w:cs="宋体"/>
                <w:i w:val="0"/>
                <w:iCs w:val="0"/>
                <w:color w:val="auto"/>
                <w:spacing w:val="-17"/>
                <w:kern w:val="0"/>
                <w:sz w:val="21"/>
                <w:szCs w:val="21"/>
                <w:u w:val="none"/>
                <w:lang w:val="en-US" w:eastAsia="zh-CN" w:bidi="ar"/>
              </w:rPr>
              <w:t>人工智能物联网应用技术</w:t>
            </w:r>
          </w:p>
        </w:tc>
        <w:tc>
          <w:tcPr>
            <w:tcW w:w="11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信息工程学院</w:t>
            </w:r>
          </w:p>
        </w:tc>
        <w:tc>
          <w:tcPr>
            <w:tcW w:w="41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理工类</w:t>
            </w: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https://xxgc.fjsmu.edu.cn/2024/0327/c1499a151338/page.htm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9</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数字建造</w:t>
            </w:r>
          </w:p>
        </w:tc>
        <w:tc>
          <w:tcPr>
            <w:tcW w:w="11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建筑工程学院</w:t>
            </w: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5"/>
                <w:szCs w:val="15"/>
                <w:u w:val="none"/>
                <w:lang w:val="en-US" w:eastAsia="zh-CN" w:bidi="ar"/>
              </w:rPr>
              <w:t>http://bt.fjsmu.edu.cn/jzgcxynew/2024/0326/c4607a151209/page.psp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10</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跨境电商</w:t>
            </w:r>
          </w:p>
        </w:tc>
        <w:tc>
          <w:tcPr>
            <w:tcW w:w="111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海外学院（外国语学院）</w:t>
            </w:r>
          </w:p>
        </w:tc>
        <w:tc>
          <w:tcPr>
            <w:tcW w:w="41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文管类</w:t>
            </w: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13</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kern w:val="2"/>
                <w:sz w:val="21"/>
                <w:szCs w:val="21"/>
                <w:highlight w:val="none"/>
                <w:vertAlign w:val="baseline"/>
                <w:lang w:val="en-US" w:eastAsia="zh-CN" w:bidi="ar-SA"/>
              </w:rPr>
            </w:pPr>
            <w:r>
              <w:rPr>
                <w:rFonts w:hint="eastAsia" w:asciiTheme="minorEastAsia" w:hAnsiTheme="minorEastAsia" w:eastAsiaTheme="minorEastAsia" w:cstheme="minorEastAsia"/>
                <w:kern w:val="2"/>
                <w:sz w:val="21"/>
                <w:szCs w:val="21"/>
                <w:highlight w:val="none"/>
                <w:vertAlign w:val="baseline"/>
                <w:lang w:val="en-US" w:eastAsia="zh-CN" w:bidi="ar-SA"/>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https://fcollege.fjsmu.edu.cn/2024/0325/c4182a151170/page.htm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11</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非洲研究翻译实践</w:t>
            </w:r>
          </w:p>
        </w:tc>
        <w:tc>
          <w:tcPr>
            <w:tcW w:w="111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https://fcollege.fjsmu.edu.cn/2024/0325/c4183a151190/page.htm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12</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体育赛事组织与策划</w:t>
            </w:r>
          </w:p>
        </w:tc>
        <w:tc>
          <w:tcPr>
            <w:tcW w:w="111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体育与</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康养学院</w:t>
            </w: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vertAlign w:val="baseline"/>
              </w:rPr>
            </w:pPr>
            <w:r>
              <w:rPr>
                <w:rFonts w:hint="eastAsia" w:ascii="宋体" w:hAnsi="宋体" w:eastAsia="宋体" w:cs="宋体"/>
                <w:i w:val="0"/>
                <w:iCs w:val="0"/>
                <w:color w:val="000000"/>
                <w:kern w:val="0"/>
                <w:sz w:val="21"/>
                <w:szCs w:val="21"/>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vertAlign w:val="baseline"/>
              </w:rPr>
            </w:pPr>
            <w:r>
              <w:rPr>
                <w:rFonts w:hint="eastAsia" w:ascii="宋体" w:hAnsi="宋体" w:eastAsia="宋体" w:cs="宋体"/>
                <w:i w:val="0"/>
                <w:iCs w:val="0"/>
                <w:color w:val="000000"/>
                <w:kern w:val="0"/>
                <w:sz w:val="21"/>
                <w:szCs w:val="21"/>
                <w:u w:val="none"/>
                <w:lang w:val="en-US" w:eastAsia="zh-CN" w:bidi="ar"/>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5"/>
                <w:szCs w:val="15"/>
                <w:u w:val="none"/>
                <w:lang w:val="en-US" w:eastAsia="zh-CN" w:bidi="ar"/>
              </w:rPr>
              <w:t>https://tyxy.fjsmu.edu.cn/2024/0325/c447a151199/page.htm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13</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滑板科学与工程</w:t>
            </w:r>
          </w:p>
        </w:tc>
        <w:tc>
          <w:tcPr>
            <w:tcW w:w="111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sz w:val="21"/>
                <w:szCs w:val="21"/>
                <w:vertAlign w:val="baseline"/>
              </w:rPr>
            </w:pPr>
            <w:r>
              <w:rPr>
                <w:rFonts w:hint="eastAsia" w:ascii="宋体" w:hAnsi="宋体" w:eastAsia="宋体" w:cs="宋体"/>
                <w:i w:val="0"/>
                <w:iCs w:val="0"/>
                <w:color w:val="000000"/>
                <w:kern w:val="0"/>
                <w:sz w:val="21"/>
                <w:szCs w:val="21"/>
                <w:u w:val="none"/>
                <w:lang w:val="en-US" w:eastAsia="zh-CN" w:bidi="ar"/>
              </w:rPr>
              <w:t>20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https://tyxy.fjsmu.edu.cn/2024/0327/c447a151336/page.htm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14</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自然科学与研学教育</w:t>
            </w:r>
          </w:p>
        </w:tc>
        <w:tc>
          <w:tcPr>
            <w:tcW w:w="11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经济与</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管理学院</w:t>
            </w: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https://glxy.fjsmu.edu.cn/2024/0327/c3613a151341/page.htm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spacing w:val="-17"/>
                <w:kern w:val="0"/>
                <w:sz w:val="21"/>
                <w:szCs w:val="21"/>
                <w:u w:val="none"/>
                <w:lang w:val="en-US" w:eastAsia="zh-CN" w:bidi="ar"/>
              </w:rPr>
            </w:pPr>
            <w:r>
              <w:rPr>
                <w:rFonts w:hint="eastAsia" w:ascii="宋体" w:hAnsi="宋体" w:eastAsia="宋体" w:cs="宋体"/>
                <w:i w:val="0"/>
                <w:iCs w:val="0"/>
                <w:color w:val="000000"/>
                <w:spacing w:val="-17"/>
                <w:kern w:val="0"/>
                <w:sz w:val="21"/>
                <w:szCs w:val="21"/>
                <w:u w:val="none"/>
                <w:lang w:val="en-US" w:eastAsia="zh-CN" w:bidi="ar"/>
              </w:rPr>
              <w:t>15</w:t>
            </w:r>
          </w:p>
        </w:tc>
        <w:tc>
          <w:tcPr>
            <w:tcW w:w="22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小学科学教育</w:t>
            </w:r>
          </w:p>
        </w:tc>
        <w:tc>
          <w:tcPr>
            <w:tcW w:w="11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教育与</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音乐学院</w:t>
            </w:r>
          </w:p>
        </w:tc>
        <w:tc>
          <w:tcPr>
            <w:tcW w:w="4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1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w:t>
            </w:r>
          </w:p>
        </w:tc>
        <w:tc>
          <w:tcPr>
            <w:tcW w:w="6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w:t>
            </w:r>
          </w:p>
        </w:tc>
        <w:tc>
          <w:tcPr>
            <w:tcW w:w="77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70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Theme="minorEastAsia" w:hAnsiTheme="minorEastAsia" w:eastAsiaTheme="minorEastAsia" w:cstheme="minorEastAsia"/>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1915"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http://www.fjsmu.edu.cn/jyxy/2024/0327/c4505a151330/page.htm</w:t>
            </w:r>
          </w:p>
        </w:tc>
      </w:tr>
    </w:tbl>
    <w:p>
      <w:pPr>
        <w:keepNext w:val="0"/>
        <w:keepLines w:val="0"/>
        <w:pageBreakBefore w:val="0"/>
        <w:widowControl w:val="0"/>
        <w:kinsoku/>
        <w:overflowPunct/>
        <w:topLinePunct w:val="0"/>
        <w:autoSpaceDE/>
        <w:autoSpaceDN/>
        <w:bidi w:val="0"/>
        <w:adjustRightInd/>
        <w:snapToGrid/>
        <w:textAlignment w:val="auto"/>
        <w:rPr>
          <w:rFonts w:hint="eastAsia" w:ascii="黑体" w:hAnsi="黑体" w:eastAsia="黑体" w:cs="黑体"/>
        </w:rPr>
      </w:pPr>
      <w:r>
        <w:rPr>
          <w:rFonts w:hint="eastAsia" w:ascii="黑体" w:hAnsi="黑体" w:eastAsia="黑体" w:cs="黑体"/>
        </w:rPr>
        <w:t>二、报名条件</w:t>
      </w:r>
    </w:p>
    <w:p>
      <w:pPr>
        <w:keepNext w:val="0"/>
        <w:keepLines w:val="0"/>
        <w:pageBreakBefore w:val="0"/>
        <w:kinsoku/>
        <w:overflowPunct/>
        <w:topLinePunct w:val="0"/>
        <w:autoSpaceDE/>
        <w:autoSpaceDN/>
        <w:bidi w:val="0"/>
        <w:adjustRightInd/>
        <w:snapToGrid/>
        <w:rPr>
          <w:rFonts w:hint="eastAsia"/>
        </w:rPr>
      </w:pPr>
      <w:r>
        <w:rPr>
          <w:rFonts w:hint="eastAsia"/>
        </w:rPr>
        <w:t>1.</w:t>
      </w:r>
      <w:r>
        <w:rPr>
          <w:rFonts w:hint="eastAsia"/>
          <w:lang w:eastAsia="zh-CN"/>
        </w:rPr>
        <w:t>学生</w:t>
      </w:r>
      <w:r>
        <w:rPr>
          <w:rFonts w:hint="eastAsia"/>
        </w:rPr>
        <w:t>主修专业课程无补考或重修</w:t>
      </w:r>
      <w:r>
        <w:rPr>
          <w:rFonts w:hint="eastAsia"/>
          <w:lang w:eastAsia="zh-CN"/>
        </w:rPr>
        <w:t>，</w:t>
      </w:r>
      <w:r>
        <w:rPr>
          <w:rFonts w:hint="eastAsia"/>
        </w:rPr>
        <w:t>符合微专业招生简章规定的修读要求。</w:t>
      </w:r>
    </w:p>
    <w:p>
      <w:pPr>
        <w:keepNext w:val="0"/>
        <w:keepLines w:val="0"/>
        <w:pageBreakBefore w:val="0"/>
        <w:kinsoku/>
        <w:overflowPunct/>
        <w:topLinePunct w:val="0"/>
        <w:autoSpaceDE/>
        <w:autoSpaceDN/>
        <w:bidi w:val="0"/>
        <w:adjustRightInd/>
        <w:snapToGrid/>
        <w:rPr>
          <w:rFonts w:hint="eastAsia"/>
        </w:rPr>
      </w:pPr>
      <w:r>
        <w:rPr>
          <w:rFonts w:hint="eastAsia"/>
        </w:rPr>
        <w:t>2.</w:t>
      </w:r>
      <w:r>
        <w:rPr>
          <w:rFonts w:hint="eastAsia"/>
          <w:lang w:eastAsia="zh-CN"/>
        </w:rPr>
        <w:t>限</w:t>
      </w:r>
      <w:r>
        <w:rPr>
          <w:rFonts w:hint="eastAsia"/>
          <w:lang w:val="en-US" w:eastAsia="zh-CN"/>
        </w:rPr>
        <w:t>2021-2023级</w:t>
      </w:r>
      <w:r>
        <w:rPr>
          <w:rFonts w:hint="eastAsia"/>
        </w:rPr>
        <w:t>学生</w:t>
      </w:r>
      <w:r>
        <w:rPr>
          <w:rFonts w:hint="eastAsia"/>
          <w:lang w:eastAsia="zh-CN"/>
        </w:rPr>
        <w:t>（不包含专升本学生）报名，每位</w:t>
      </w:r>
      <w:r>
        <w:rPr>
          <w:rFonts w:hint="eastAsia"/>
        </w:rPr>
        <w:t>学生限报名</w:t>
      </w:r>
      <w:r>
        <w:rPr>
          <w:rFonts w:hint="eastAsia"/>
          <w:lang w:val="en-US" w:eastAsia="zh-CN"/>
        </w:rPr>
        <w:t>1</w:t>
      </w:r>
      <w:r>
        <w:rPr>
          <w:rFonts w:hint="eastAsia"/>
        </w:rPr>
        <w:t>个微专业。</w:t>
      </w:r>
    </w:p>
    <w:p>
      <w:pPr>
        <w:keepNext w:val="0"/>
        <w:keepLines w:val="0"/>
        <w:pageBreakBefore w:val="0"/>
        <w:widowControl w:val="0"/>
        <w:kinsoku/>
        <w:overflowPunct/>
        <w:topLinePunct w:val="0"/>
        <w:autoSpaceDE/>
        <w:autoSpaceDN/>
        <w:bidi w:val="0"/>
        <w:adjustRightInd/>
        <w:snapToGrid/>
        <w:textAlignment w:val="auto"/>
        <w:rPr>
          <w:rFonts w:hint="eastAsia" w:ascii="黑体" w:hAnsi="黑体" w:eastAsia="黑体" w:cs="黑体"/>
        </w:rPr>
      </w:pPr>
      <w:r>
        <w:rPr>
          <w:rFonts w:hint="eastAsia" w:ascii="黑体" w:hAnsi="黑体" w:eastAsia="黑体" w:cs="黑体"/>
        </w:rPr>
        <w:t>三、培养模式</w:t>
      </w:r>
    </w:p>
    <w:p>
      <w:pPr>
        <w:keepNext w:val="0"/>
        <w:keepLines w:val="0"/>
        <w:pageBreakBefore w:val="0"/>
        <w:kinsoku/>
        <w:overflowPunct/>
        <w:topLinePunct w:val="0"/>
        <w:autoSpaceDE/>
        <w:autoSpaceDN/>
        <w:bidi w:val="0"/>
        <w:adjustRightInd/>
        <w:snapToGrid/>
        <w:rPr>
          <w:rFonts w:hint="eastAsia"/>
        </w:rPr>
      </w:pPr>
      <w:r>
        <w:rPr>
          <w:rFonts w:hint="eastAsia"/>
        </w:rPr>
        <w:t>1.微专业教学计划、课表编排、选课组织、考试安排等由</w:t>
      </w:r>
      <w:r>
        <w:rPr>
          <w:rFonts w:hint="eastAsia"/>
          <w:lang w:eastAsia="zh-CN"/>
        </w:rPr>
        <w:t>开设</w:t>
      </w:r>
      <w:r>
        <w:rPr>
          <w:rFonts w:hint="eastAsia"/>
        </w:rPr>
        <w:t>学院根据学校教学工作要求统一安排。</w:t>
      </w:r>
    </w:p>
    <w:p>
      <w:pPr>
        <w:keepNext w:val="0"/>
        <w:keepLines w:val="0"/>
        <w:pageBreakBefore w:val="0"/>
        <w:kinsoku/>
        <w:overflowPunct/>
        <w:topLinePunct w:val="0"/>
        <w:autoSpaceDE/>
        <w:autoSpaceDN/>
        <w:bidi w:val="0"/>
        <w:adjustRightInd/>
        <w:snapToGrid/>
        <w:rPr>
          <w:rFonts w:hint="eastAsia"/>
        </w:rPr>
      </w:pPr>
      <w:r>
        <w:rPr>
          <w:rFonts w:hint="eastAsia"/>
        </w:rPr>
        <w:t>2.微专业一般单独编班授课，安排在晚上或周末授课</w:t>
      </w:r>
      <w:r>
        <w:rPr>
          <w:rFonts w:hint="eastAsia"/>
          <w:lang w:eastAsia="zh-CN"/>
        </w:rPr>
        <w:t>，</w:t>
      </w:r>
      <w:r>
        <w:rPr>
          <w:rFonts w:hint="eastAsia"/>
        </w:rPr>
        <w:t>采用线上、线下、线上线下相结合等多种</w:t>
      </w:r>
      <w:r>
        <w:rPr>
          <w:rFonts w:hint="eastAsia"/>
          <w:lang w:eastAsia="zh-CN"/>
        </w:rPr>
        <w:t>灵活</w:t>
      </w:r>
      <w:r>
        <w:rPr>
          <w:rFonts w:hint="eastAsia"/>
        </w:rPr>
        <w:t>方式开展教学。</w:t>
      </w:r>
    </w:p>
    <w:p>
      <w:pPr>
        <w:keepNext w:val="0"/>
        <w:keepLines w:val="0"/>
        <w:pageBreakBefore w:val="0"/>
        <w:kinsoku/>
        <w:overflowPunct/>
        <w:topLinePunct w:val="0"/>
        <w:autoSpaceDE/>
        <w:autoSpaceDN/>
        <w:bidi w:val="0"/>
        <w:adjustRightInd/>
        <w:snapToGrid/>
        <w:rPr>
          <w:rFonts w:hint="eastAsia"/>
          <w:lang w:val="en-US" w:eastAsia="zh-CN"/>
        </w:rPr>
      </w:pPr>
      <w:r>
        <w:rPr>
          <w:rFonts w:hint="eastAsia"/>
          <w:lang w:val="en-US" w:eastAsia="zh-CN"/>
        </w:rPr>
        <w:t>3.</w:t>
      </w:r>
      <w:r>
        <w:rPr>
          <w:rFonts w:hint="eastAsia"/>
        </w:rPr>
        <w:t>微专业课程考核不合格的学生，可以参加补考，补考不及格可申请重修。微专业课程不纳入主修平均学分绩点计算，不影</w:t>
      </w:r>
      <w:r>
        <w:rPr>
          <w:rFonts w:hint="eastAsia"/>
          <w:lang w:val="en-US" w:eastAsia="zh-CN"/>
        </w:rPr>
        <w:t>响评奖评优和主修专业的毕业资格。</w:t>
      </w:r>
    </w:p>
    <w:p>
      <w:pPr>
        <w:keepNext w:val="0"/>
        <w:keepLines w:val="0"/>
        <w:pageBreakBefore w:val="0"/>
        <w:kinsoku/>
        <w:overflowPunct/>
        <w:topLinePunct w:val="0"/>
        <w:autoSpaceDE/>
        <w:autoSpaceDN/>
        <w:bidi w:val="0"/>
        <w:adjustRightInd/>
        <w:snapToGrid/>
        <w:rPr>
          <w:rFonts w:hint="eastAsia"/>
          <w:lang w:val="en-US" w:eastAsia="zh-CN"/>
        </w:rPr>
      </w:pPr>
      <w:r>
        <w:rPr>
          <w:rFonts w:hint="eastAsia"/>
          <w:lang w:val="en-US" w:eastAsia="zh-CN"/>
        </w:rPr>
        <w:t xml:space="preserve">4.因学业情况变化等，学生可向开设学院提出退出申请，经开设学院审核同意后正式退出微专业。学生在主修专业修读结束时，微专业学籍自动终止。 </w:t>
      </w:r>
    </w:p>
    <w:p>
      <w:pPr>
        <w:keepNext w:val="0"/>
        <w:keepLines w:val="0"/>
        <w:pageBreakBefore w:val="0"/>
        <w:widowControl w:val="0"/>
        <w:kinsoku/>
        <w:overflowPunct/>
        <w:topLinePunct w:val="0"/>
        <w:autoSpaceDE/>
        <w:autoSpaceDN/>
        <w:bidi w:val="0"/>
        <w:adjustRightInd/>
        <w:snapToGrid/>
        <w:textAlignment w:val="auto"/>
        <w:rPr>
          <w:rFonts w:hint="eastAsia" w:ascii="黑体" w:hAnsi="黑体" w:eastAsia="黑体" w:cs="黑体"/>
        </w:rPr>
      </w:pPr>
      <w:r>
        <w:rPr>
          <w:rFonts w:hint="eastAsia" w:ascii="黑体" w:hAnsi="黑体" w:eastAsia="黑体" w:cs="黑体"/>
        </w:rPr>
        <w:t>四、证书发放</w:t>
      </w:r>
    </w:p>
    <w:p>
      <w:pPr>
        <w:keepNext w:val="0"/>
        <w:keepLines w:val="0"/>
        <w:pageBreakBefore w:val="0"/>
        <w:kinsoku/>
        <w:overflowPunct/>
        <w:topLinePunct w:val="0"/>
        <w:autoSpaceDE/>
        <w:autoSpaceDN/>
        <w:bidi w:val="0"/>
        <w:adjustRightInd/>
        <w:snapToGrid/>
        <w:rPr>
          <w:rFonts w:hint="eastAsia"/>
        </w:rPr>
      </w:pPr>
      <w:r>
        <w:rPr>
          <w:rFonts w:hint="eastAsia"/>
          <w:lang w:val="en-US" w:eastAsia="zh-CN"/>
        </w:rPr>
        <w:t>1</w:t>
      </w:r>
      <w:r>
        <w:rPr>
          <w:rFonts w:hint="eastAsia"/>
        </w:rPr>
        <w:t xml:space="preserve">.学生按照微专业培养方案，修读完成所有课程，经学院审核后，报教务处审定，发放学校制作的微专业成绩单和证书。微专业证书为非学历证书。 </w:t>
      </w:r>
    </w:p>
    <w:p>
      <w:pPr>
        <w:keepNext w:val="0"/>
        <w:keepLines w:val="0"/>
        <w:pageBreakBefore w:val="0"/>
        <w:kinsoku/>
        <w:overflowPunct/>
        <w:topLinePunct w:val="0"/>
        <w:autoSpaceDE/>
        <w:autoSpaceDN/>
        <w:bidi w:val="0"/>
        <w:adjustRightInd/>
        <w:snapToGrid/>
        <w:rPr>
          <w:rFonts w:hint="eastAsia"/>
        </w:rPr>
      </w:pPr>
      <w:r>
        <w:rPr>
          <w:rFonts w:hint="eastAsia"/>
          <w:lang w:val="en-US" w:eastAsia="zh-CN"/>
        </w:rPr>
        <w:t>2</w:t>
      </w:r>
      <w:r>
        <w:rPr>
          <w:rFonts w:hint="eastAsia"/>
        </w:rPr>
        <w:t>.所有修读取得的微专业学分可以申请认定为通识教育选修课非限选模块学分。微专业课程学习完毕后统一申请认定，参照课程修读认定程序。</w:t>
      </w:r>
    </w:p>
    <w:p>
      <w:pPr>
        <w:keepNext w:val="0"/>
        <w:keepLines w:val="0"/>
        <w:pageBreakBefore w:val="0"/>
        <w:widowControl w:val="0"/>
        <w:kinsoku/>
        <w:overflowPunct/>
        <w:topLinePunct w:val="0"/>
        <w:autoSpaceDE/>
        <w:autoSpaceDN/>
        <w:bidi w:val="0"/>
        <w:adjustRightInd/>
        <w:snapToGrid/>
        <w:textAlignment w:val="auto"/>
        <w:rPr>
          <w:rFonts w:hint="eastAsia" w:ascii="黑体" w:hAnsi="黑体" w:eastAsia="黑体" w:cs="黑体"/>
        </w:rPr>
      </w:pPr>
      <w:r>
        <w:rPr>
          <w:rFonts w:hint="eastAsia" w:ascii="黑体" w:hAnsi="黑体" w:eastAsia="黑体" w:cs="黑体"/>
          <w:lang w:eastAsia="zh-CN"/>
        </w:rPr>
        <w:t>五</w:t>
      </w:r>
      <w:r>
        <w:rPr>
          <w:rFonts w:hint="eastAsia" w:ascii="黑体" w:hAnsi="黑体" w:eastAsia="黑体" w:cs="黑体"/>
        </w:rPr>
        <w:t>、收费管理</w:t>
      </w:r>
    </w:p>
    <w:p>
      <w:pPr>
        <w:keepNext w:val="0"/>
        <w:keepLines w:val="0"/>
        <w:pageBreakBefore w:val="0"/>
        <w:kinsoku/>
        <w:overflowPunct/>
        <w:topLinePunct w:val="0"/>
        <w:autoSpaceDE/>
        <w:autoSpaceDN/>
        <w:bidi w:val="0"/>
        <w:adjustRightInd/>
        <w:snapToGrid/>
        <w:rPr>
          <w:rFonts w:hint="eastAsia"/>
          <w:lang w:val="en-US" w:eastAsia="zh-CN"/>
        </w:rPr>
      </w:pPr>
      <w:r>
        <w:rPr>
          <w:rFonts w:hint="eastAsia"/>
          <w:lang w:val="en-US" w:eastAsia="zh-CN"/>
        </w:rPr>
        <w:t>1.</w:t>
      </w:r>
      <w:r>
        <w:rPr>
          <w:rFonts w:hint="eastAsia"/>
        </w:rPr>
        <w:t>微专业参照辅修专业收费标准（文管类每学分100元，理工类每学分110元，艺术类每学分150元），由开设学院协同财务处进行收费。</w:t>
      </w:r>
    </w:p>
    <w:p>
      <w:pPr>
        <w:keepNext w:val="0"/>
        <w:keepLines w:val="0"/>
        <w:pageBreakBefore w:val="0"/>
        <w:kinsoku/>
        <w:overflowPunct/>
        <w:topLinePunct w:val="0"/>
        <w:autoSpaceDE/>
        <w:autoSpaceDN/>
        <w:bidi w:val="0"/>
        <w:adjustRightInd/>
        <w:snapToGrid/>
        <w:rPr>
          <w:rFonts w:hint="eastAsia"/>
        </w:rPr>
      </w:pPr>
      <w:r>
        <w:rPr>
          <w:rFonts w:hint="eastAsia"/>
          <w:lang w:val="en-US" w:eastAsia="zh-CN"/>
        </w:rPr>
        <w:t>2.</w:t>
      </w:r>
      <w:r>
        <w:rPr>
          <w:rFonts w:hint="eastAsia"/>
        </w:rPr>
        <w:t>学生须在开设学院规定的时间内报到注册</w:t>
      </w:r>
      <w:r>
        <w:rPr>
          <w:rFonts w:hint="eastAsia"/>
          <w:lang w:eastAsia="zh-CN"/>
        </w:rPr>
        <w:t>及</w:t>
      </w:r>
      <w:r>
        <w:rPr>
          <w:rFonts w:hint="eastAsia"/>
        </w:rPr>
        <w:t>缴纳学费</w:t>
      </w:r>
      <w:r>
        <w:rPr>
          <w:rFonts w:hint="eastAsia"/>
          <w:lang w:eastAsia="zh-CN"/>
        </w:rPr>
        <w:t>，否则</w:t>
      </w:r>
      <w:r>
        <w:rPr>
          <w:rFonts w:hint="eastAsia"/>
        </w:rPr>
        <w:t>将取消</w:t>
      </w:r>
      <w:r>
        <w:rPr>
          <w:rFonts w:hint="eastAsia"/>
          <w:lang w:eastAsia="zh-CN"/>
        </w:rPr>
        <w:t>微专业</w:t>
      </w:r>
      <w:r>
        <w:rPr>
          <w:rFonts w:hint="eastAsia"/>
        </w:rPr>
        <w:t>修读资格。</w:t>
      </w:r>
    </w:p>
    <w:p>
      <w:pPr>
        <w:keepNext w:val="0"/>
        <w:keepLines w:val="0"/>
        <w:pageBreakBefore w:val="0"/>
        <w:widowControl w:val="0"/>
        <w:kinsoku/>
        <w:overflowPunct/>
        <w:topLinePunct w:val="0"/>
        <w:autoSpaceDE/>
        <w:autoSpaceDN/>
        <w:bidi w:val="0"/>
        <w:adjustRightInd/>
        <w:snapToGrid/>
        <w:textAlignment w:val="auto"/>
        <w:rPr>
          <w:rFonts w:hint="eastAsia" w:ascii="黑体" w:hAnsi="黑体" w:eastAsia="黑体" w:cs="黑体"/>
        </w:rPr>
      </w:pPr>
      <w:r>
        <w:rPr>
          <w:rFonts w:hint="eastAsia" w:ascii="黑体" w:hAnsi="黑体" w:eastAsia="黑体" w:cs="黑体"/>
          <w:lang w:eastAsia="zh-CN"/>
        </w:rPr>
        <w:t>六</w:t>
      </w:r>
      <w:r>
        <w:rPr>
          <w:rFonts w:hint="eastAsia" w:ascii="黑体" w:hAnsi="黑体" w:eastAsia="黑体" w:cs="黑体"/>
        </w:rPr>
        <w:t>、报名录取</w:t>
      </w:r>
    </w:p>
    <w:p>
      <w:pPr>
        <w:keepNext w:val="0"/>
        <w:keepLines w:val="0"/>
        <w:pageBreakBefore w:val="0"/>
        <w:kinsoku/>
        <w:overflowPunct/>
        <w:topLinePunct w:val="0"/>
        <w:autoSpaceDE/>
        <w:autoSpaceDN/>
        <w:bidi w:val="0"/>
        <w:adjustRightInd/>
        <w:snapToGrid/>
        <w:rPr>
          <w:rFonts w:hint="eastAsia"/>
          <w:lang w:eastAsia="zh-CN"/>
        </w:rPr>
      </w:pPr>
      <w:r>
        <w:rPr>
          <w:rFonts w:hint="eastAsia"/>
        </w:rPr>
        <w:t>1.报名时间：202</w:t>
      </w:r>
      <w:r>
        <w:rPr>
          <w:rFonts w:hint="eastAsia"/>
          <w:lang w:val="en-US" w:eastAsia="zh-CN"/>
        </w:rPr>
        <w:t>4</w:t>
      </w:r>
      <w:r>
        <w:rPr>
          <w:rFonts w:hint="eastAsia"/>
        </w:rPr>
        <w:t>年</w:t>
      </w:r>
      <w:r>
        <w:rPr>
          <w:rFonts w:hint="eastAsia"/>
          <w:lang w:val="en-US" w:eastAsia="zh-CN"/>
        </w:rPr>
        <w:t>3</w:t>
      </w:r>
      <w:r>
        <w:rPr>
          <w:rFonts w:hint="eastAsia"/>
        </w:rPr>
        <w:t>月</w:t>
      </w:r>
      <w:r>
        <w:rPr>
          <w:rFonts w:hint="eastAsia"/>
          <w:lang w:val="en-US" w:eastAsia="zh-CN"/>
        </w:rPr>
        <w:t>28</w:t>
      </w:r>
      <w:r>
        <w:rPr>
          <w:rFonts w:hint="eastAsia"/>
        </w:rPr>
        <w:t>日</w:t>
      </w:r>
      <w:r>
        <w:rPr>
          <w:rFonts w:hint="eastAsia"/>
          <w:lang w:eastAsia="zh-CN"/>
        </w:rPr>
        <w:t>—</w:t>
      </w:r>
      <w:r>
        <w:rPr>
          <w:rFonts w:hint="eastAsia"/>
          <w:lang w:val="en-US" w:eastAsia="zh-CN"/>
        </w:rPr>
        <w:t>4</w:t>
      </w:r>
      <w:r>
        <w:rPr>
          <w:rFonts w:hint="eastAsia"/>
        </w:rPr>
        <w:t>月</w:t>
      </w:r>
      <w:r>
        <w:rPr>
          <w:rFonts w:hint="eastAsia"/>
          <w:lang w:val="en-US" w:eastAsia="zh-CN"/>
        </w:rPr>
        <w:t>3</w:t>
      </w:r>
      <w:r>
        <w:rPr>
          <w:rFonts w:hint="eastAsia"/>
        </w:rPr>
        <w:t>日</w:t>
      </w:r>
      <w:r>
        <w:rPr>
          <w:rFonts w:hint="eastAsia"/>
          <w:lang w:eastAsia="zh-CN"/>
        </w:rPr>
        <w:t>。</w:t>
      </w:r>
    </w:p>
    <w:p>
      <w:pPr>
        <w:keepNext w:val="0"/>
        <w:keepLines w:val="0"/>
        <w:pageBreakBefore w:val="0"/>
        <w:kinsoku/>
        <w:overflowPunct/>
        <w:topLinePunct w:val="0"/>
        <w:autoSpaceDE/>
        <w:autoSpaceDN/>
        <w:bidi w:val="0"/>
        <w:adjustRightInd/>
        <w:snapToGrid/>
        <w:rPr>
          <w:rFonts w:hint="eastAsia"/>
          <w:lang w:val="en-US" w:eastAsia="zh-CN"/>
        </w:rPr>
      </w:pPr>
      <w:r>
        <w:rPr>
          <w:rFonts w:hint="eastAsia"/>
          <w:lang w:val="en-US" w:eastAsia="zh-CN"/>
        </w:rPr>
        <w:t>2.报名流程：</w:t>
      </w:r>
    </w:p>
    <w:p>
      <w:pPr>
        <w:keepNext w:val="0"/>
        <w:keepLines w:val="0"/>
        <w:pageBreakBefore w:val="0"/>
        <w:kinsoku/>
        <w:overflowPunct/>
        <w:topLinePunct w:val="0"/>
        <w:autoSpaceDE/>
        <w:autoSpaceDN/>
        <w:bidi w:val="0"/>
        <w:adjustRightInd/>
        <w:snapToGrid/>
        <w:rPr>
          <w:rFonts w:hint="eastAsia"/>
          <w:lang w:val="en-US" w:eastAsia="zh-CN"/>
        </w:rPr>
      </w:pPr>
      <w:r>
        <w:rPr>
          <w:rFonts w:hint="eastAsia"/>
          <w:lang w:val="en-US" w:eastAsia="zh-CN"/>
        </w:rPr>
        <w:t>（1）学生点击链接查看微专业招生简章（表1），深入了解微专业，明确修读资格条件。并向开设学院咨询微专业课程的开课时间（一般安排在周末或晚上），避免与主修专业课程时间冲突。</w:t>
      </w:r>
    </w:p>
    <w:p>
      <w:pPr>
        <w:keepNext w:val="0"/>
        <w:keepLines w:val="0"/>
        <w:pageBreakBefore w:val="0"/>
        <w:kinsoku/>
        <w:overflowPunct/>
        <w:topLinePunct w:val="0"/>
        <w:autoSpaceDE/>
        <w:autoSpaceDN/>
        <w:bidi w:val="0"/>
        <w:adjustRightInd/>
        <w:snapToGrid/>
        <w:rPr>
          <w:rFonts w:hint="eastAsia"/>
          <w:lang w:val="en-US" w:eastAsia="zh-CN"/>
        </w:rPr>
      </w:pPr>
      <w:r>
        <w:rPr>
          <w:rFonts w:hint="eastAsia"/>
          <w:lang w:val="en-US" w:eastAsia="zh-CN"/>
        </w:rPr>
        <w:t>（2）微专业报名采用线上方式进行，学生线上报名，二级学院线上审核（操作流程见附件1）。</w:t>
      </w:r>
    </w:p>
    <w:p>
      <w:pPr>
        <w:keepNext w:val="0"/>
        <w:keepLines w:val="0"/>
        <w:pageBreakBefore w:val="0"/>
        <w:kinsoku/>
        <w:overflowPunct/>
        <w:topLinePunct w:val="0"/>
        <w:autoSpaceDE/>
        <w:autoSpaceDN/>
        <w:bidi w:val="0"/>
        <w:adjustRightInd/>
        <w:snapToGrid/>
        <w:rPr>
          <w:rFonts w:hint="eastAsia"/>
          <w:lang w:val="en-US" w:eastAsia="zh-CN"/>
        </w:rPr>
      </w:pPr>
      <w:r>
        <w:rPr>
          <w:rFonts w:hint="eastAsia"/>
          <w:lang w:val="en-US" w:eastAsia="zh-CN"/>
        </w:rPr>
        <w:t>学生登录“教学综合信息服务平台”，点击“报名申请”模块下的“辅修报名”进行报名（操作流程见附件1），提交学生所在学院审核。如拟报名的微专业还需提交其他相关报名材料，按各微专业《招生简章》要求提交材料。</w:t>
      </w:r>
    </w:p>
    <w:p>
      <w:pPr>
        <w:keepNext w:val="0"/>
        <w:keepLines w:val="0"/>
        <w:pageBreakBefore w:val="0"/>
        <w:kinsoku/>
        <w:overflowPunct/>
        <w:topLinePunct w:val="0"/>
        <w:autoSpaceDE/>
        <w:autoSpaceDN/>
        <w:bidi w:val="0"/>
        <w:adjustRightInd/>
        <w:snapToGrid/>
        <w:rPr>
          <w:rFonts w:hint="eastAsia"/>
          <w:lang w:val="en-US" w:eastAsia="zh-CN"/>
        </w:rPr>
      </w:pPr>
      <w:r>
        <w:rPr>
          <w:rFonts w:hint="eastAsia"/>
          <w:lang w:val="en-US" w:eastAsia="zh-CN"/>
        </w:rPr>
        <w:t>3.录取审核公示：各开设学院负责招生宣传、报名咨询、选拔公示等事宜。录取审核环节直接登录“教学综合信息服务平台”进行审核（操作流程见附件1），审核完成后导出报名成功学生名单，4月16日前将《三明学院微专业录取学生汇总表》（附件2，纸质版加盖学院公章）报送教务处。录取人数未达30人（艺术类、体育类、外语类20人）的微专业不予开班。</w:t>
      </w:r>
    </w:p>
    <w:p>
      <w:pPr>
        <w:pStyle w:val="5"/>
        <w:keepNext w:val="0"/>
        <w:keepLines w:val="0"/>
        <w:pageBreakBefore w:val="0"/>
        <w:widowControl w:val="0"/>
        <w:kinsoku/>
        <w:overflowPunct/>
        <w:topLinePunct w:val="0"/>
        <w:autoSpaceDE/>
        <w:autoSpaceDN/>
        <w:bidi w:val="0"/>
        <w:adjustRightInd/>
        <w:snapToGrid/>
        <w:spacing w:after="0" w:afterLines="0"/>
        <w:ind w:left="0" w:leftChars="0" w:firstLine="0" w:firstLineChars="0"/>
        <w:textAlignment w:val="auto"/>
        <w:rPr>
          <w:rFonts w:hint="eastAsia"/>
        </w:rPr>
      </w:pPr>
    </w:p>
    <w:p>
      <w:pPr>
        <w:pStyle w:val="5"/>
        <w:keepNext w:val="0"/>
        <w:keepLines w:val="0"/>
        <w:pageBreakBefore w:val="0"/>
        <w:widowControl w:val="0"/>
        <w:kinsoku/>
        <w:overflowPunct/>
        <w:topLinePunct w:val="0"/>
        <w:autoSpaceDE/>
        <w:autoSpaceDN/>
        <w:bidi w:val="0"/>
        <w:adjustRightInd/>
        <w:snapToGrid/>
        <w:spacing w:after="0" w:afterLines="0"/>
        <w:ind w:left="0" w:leftChars="0" w:firstLine="0" w:firstLineChars="0"/>
        <w:textAlignment w:val="auto"/>
        <w:rPr>
          <w:rFonts w:hint="default" w:ascii="Times New Roman" w:hAnsi="Times New Roman" w:eastAsia="仿宋_GB2312" w:cs="Times New Roman"/>
          <w:kern w:val="2"/>
          <w:sz w:val="32"/>
          <w:szCs w:val="24"/>
          <w:lang w:val="en-US" w:eastAsia="zh-CN" w:bidi="ar-SA"/>
        </w:rPr>
      </w:pPr>
      <w:r>
        <w:rPr>
          <w:rFonts w:hint="eastAsia"/>
          <w:lang w:val="en-US" w:eastAsia="zh-CN"/>
        </w:rPr>
        <w:t xml:space="preserve">    </w:t>
      </w:r>
      <w:r>
        <w:rPr>
          <w:rFonts w:hint="eastAsia" w:ascii="Times New Roman" w:hAnsi="Times New Roman" w:eastAsia="仿宋_GB2312" w:cs="Times New Roman"/>
          <w:kern w:val="2"/>
          <w:sz w:val="32"/>
          <w:szCs w:val="24"/>
          <w:lang w:val="en-US" w:eastAsia="zh-CN" w:bidi="ar-SA"/>
        </w:rPr>
        <w:t>工作联系人：教务处教务科 刘军茹（</w:t>
      </w:r>
      <w:r>
        <w:rPr>
          <w:rFonts w:hint="eastAsia" w:ascii="Times New Roman" w:hAnsi="Times New Roman" w:cs="Times New Roman"/>
          <w:kern w:val="2"/>
          <w:sz w:val="32"/>
          <w:szCs w:val="24"/>
          <w:lang w:val="en-US" w:eastAsia="zh-CN" w:bidi="ar-SA"/>
        </w:rPr>
        <w:t>联系电话8397201，办公地址：行政楼411</w:t>
      </w:r>
      <w:r>
        <w:rPr>
          <w:rFonts w:hint="eastAsia" w:ascii="Times New Roman" w:hAnsi="Times New Roman" w:eastAsia="仿宋_GB2312" w:cs="Times New Roman"/>
          <w:kern w:val="2"/>
          <w:sz w:val="32"/>
          <w:szCs w:val="24"/>
          <w:lang w:val="en-US" w:eastAsia="zh-CN" w:bidi="ar-SA"/>
        </w:rPr>
        <w:t>）</w:t>
      </w:r>
      <w:r>
        <w:rPr>
          <w:rFonts w:hint="eastAsia" w:ascii="Times New Roman" w:hAnsi="Times New Roman" w:cs="Times New Roman"/>
          <w:kern w:val="2"/>
          <w:sz w:val="32"/>
          <w:szCs w:val="24"/>
          <w:lang w:val="en-US" w:eastAsia="zh-CN" w:bidi="ar-SA"/>
        </w:rPr>
        <w:t>。</w:t>
      </w:r>
    </w:p>
    <w:p>
      <w:pPr>
        <w:pStyle w:val="5"/>
        <w:keepNext w:val="0"/>
        <w:keepLines w:val="0"/>
        <w:pageBreakBefore w:val="0"/>
        <w:widowControl w:val="0"/>
        <w:kinsoku/>
        <w:overflowPunct/>
        <w:topLinePunct w:val="0"/>
        <w:autoSpaceDE/>
        <w:autoSpaceDN/>
        <w:bidi w:val="0"/>
        <w:adjustRightInd/>
        <w:snapToGrid/>
        <w:spacing w:after="0" w:afterLines="0"/>
        <w:ind w:left="0" w:leftChars="0" w:firstLine="0" w:firstLineChars="0"/>
        <w:textAlignment w:val="auto"/>
        <w:rPr>
          <w:rFonts w:hint="eastAsia"/>
        </w:rPr>
      </w:pPr>
    </w:p>
    <w:p>
      <w:pPr>
        <w:keepNext w:val="0"/>
        <w:keepLines w:val="0"/>
        <w:pageBreakBefore w:val="0"/>
        <w:widowControl w:val="0"/>
        <w:kinsoku/>
        <w:overflowPunct/>
        <w:topLinePunct w:val="0"/>
        <w:autoSpaceDE/>
        <w:autoSpaceDN/>
        <w:bidi w:val="0"/>
        <w:adjustRightInd/>
        <w:snapToGrid/>
        <w:textAlignment w:val="auto"/>
        <w:rPr>
          <w:rFonts w:hint="eastAsia" w:eastAsia="仿宋_GB2312"/>
          <w:lang w:eastAsia="zh-CN"/>
        </w:rPr>
      </w:pPr>
      <w:r>
        <w:rPr>
          <w:rFonts w:hint="eastAsia"/>
          <w:lang w:eastAsia="zh-CN"/>
        </w:rPr>
        <w:t>附件：</w:t>
      </w:r>
      <w:r>
        <w:rPr>
          <w:rFonts w:hint="eastAsia"/>
          <w:lang w:val="en-US" w:eastAsia="zh-CN"/>
        </w:rPr>
        <w:t>1.</w:t>
      </w:r>
      <w:r>
        <w:rPr>
          <w:rFonts w:hint="eastAsia"/>
        </w:rPr>
        <w:t>三明学院微专业</w:t>
      </w:r>
      <w:r>
        <w:rPr>
          <w:rFonts w:hint="eastAsia"/>
          <w:lang w:eastAsia="zh-CN"/>
        </w:rPr>
        <w:t>报名、审批流程</w:t>
      </w:r>
    </w:p>
    <w:p>
      <w:pPr>
        <w:keepNext w:val="0"/>
        <w:keepLines w:val="0"/>
        <w:pageBreakBefore w:val="0"/>
        <w:widowControl w:val="0"/>
        <w:kinsoku/>
        <w:overflowPunct/>
        <w:topLinePunct w:val="0"/>
        <w:autoSpaceDE/>
        <w:autoSpaceDN/>
        <w:bidi w:val="0"/>
        <w:adjustRightInd/>
        <w:snapToGrid/>
        <w:textAlignment w:val="auto"/>
        <w:rPr>
          <w:rFonts w:hint="eastAsia"/>
          <w:lang w:val="en-US" w:eastAsia="zh-CN"/>
        </w:rPr>
      </w:pPr>
      <w:r>
        <w:rPr>
          <w:rFonts w:hint="eastAsia"/>
          <w:lang w:val="en-US" w:eastAsia="zh-CN"/>
        </w:rPr>
        <w:t xml:space="preserve">      2.三明学院微专业录取学生汇总表</w:t>
      </w:r>
    </w:p>
    <w:p>
      <w:pPr>
        <w:pStyle w:val="5"/>
        <w:rPr>
          <w:rFonts w:hint="default" w:ascii="Times New Roman" w:hAnsi="Times New Roman" w:eastAsia="仿宋_GB2312" w:cs="Times New Roman"/>
          <w:kern w:val="2"/>
          <w:sz w:val="32"/>
          <w:szCs w:val="24"/>
          <w:lang w:val="en-US" w:eastAsia="zh-CN" w:bidi="ar-SA"/>
        </w:rPr>
      </w:pPr>
      <w:r>
        <w:rPr>
          <w:rFonts w:hint="eastAsia"/>
          <w:lang w:val="en-US" w:eastAsia="zh-CN"/>
        </w:rPr>
        <w:t xml:space="preserve">      </w:t>
      </w:r>
      <w:r>
        <w:rPr>
          <w:rFonts w:hint="eastAsia" w:ascii="Times New Roman" w:hAnsi="Times New Roman" w:eastAsia="仿宋_GB2312" w:cs="Times New Roman"/>
          <w:kern w:val="2"/>
          <w:sz w:val="32"/>
          <w:szCs w:val="24"/>
          <w:lang w:val="en-US" w:eastAsia="zh-CN" w:bidi="ar-SA"/>
        </w:rPr>
        <w:t>3.三明学院微专业管理办法（试行）</w:t>
      </w:r>
    </w:p>
    <w:p>
      <w:pPr>
        <w:pStyle w:val="5"/>
        <w:keepNext w:val="0"/>
        <w:keepLines w:val="0"/>
        <w:pageBreakBefore w:val="0"/>
        <w:widowControl w:val="0"/>
        <w:kinsoku/>
        <w:overflowPunct/>
        <w:topLinePunct w:val="0"/>
        <w:autoSpaceDE/>
        <w:autoSpaceDN/>
        <w:bidi w:val="0"/>
        <w:adjustRightInd/>
        <w:snapToGrid/>
        <w:spacing w:after="0" w:afterLines="0"/>
        <w:textAlignment w:val="auto"/>
        <w:rPr>
          <w:rFonts w:hint="eastAsia"/>
        </w:rPr>
      </w:pPr>
    </w:p>
    <w:p>
      <w:pPr>
        <w:pStyle w:val="5"/>
        <w:keepNext w:val="0"/>
        <w:keepLines w:val="0"/>
        <w:pageBreakBefore w:val="0"/>
        <w:widowControl w:val="0"/>
        <w:kinsoku/>
        <w:overflowPunct/>
        <w:topLinePunct w:val="0"/>
        <w:autoSpaceDE/>
        <w:autoSpaceDN/>
        <w:bidi w:val="0"/>
        <w:adjustRightInd/>
        <w:snapToGrid/>
        <w:spacing w:after="0" w:afterLines="0"/>
        <w:textAlignment w:val="auto"/>
        <w:rPr>
          <w:rFonts w:hint="eastAsia"/>
        </w:rPr>
      </w:pPr>
    </w:p>
    <w:p>
      <w:pPr>
        <w:keepNext w:val="0"/>
        <w:keepLines w:val="0"/>
        <w:pageBreakBefore w:val="0"/>
        <w:widowControl w:val="0"/>
        <w:kinsoku/>
        <w:wordWrap w:val="0"/>
        <w:overflowPunct/>
        <w:topLinePunct w:val="0"/>
        <w:autoSpaceDE/>
        <w:autoSpaceDN/>
        <w:bidi w:val="0"/>
        <w:adjustRightInd/>
        <w:snapToGrid/>
        <w:ind w:left="0" w:leftChars="0" w:firstLine="0" w:firstLineChars="0"/>
        <w:jc w:val="right"/>
        <w:textAlignment w:val="auto"/>
        <w:rPr>
          <w:rFonts w:hint="default"/>
          <w:lang w:val="en-US" w:eastAsia="zh-CN"/>
        </w:rPr>
      </w:pPr>
      <w:r>
        <w:rPr>
          <w:rFonts w:hint="eastAsia"/>
          <w:lang w:eastAsia="zh-CN"/>
        </w:rPr>
        <w:t>教务处</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ind w:left="0" w:leftChars="0" w:firstLine="0" w:firstLineChars="0"/>
        <w:jc w:val="right"/>
        <w:textAlignment w:val="auto"/>
        <w:rPr>
          <w:rFonts w:hint="eastAsia"/>
          <w:lang w:val="en-US" w:eastAsia="zh-CN"/>
        </w:rPr>
        <w:sectPr>
          <w:footerReference r:id="rId5" w:type="default"/>
          <w:pgSz w:w="11906" w:h="16838"/>
          <w:pgMar w:top="2098" w:right="1474" w:bottom="1984" w:left="1587" w:header="851" w:footer="992" w:gutter="0"/>
          <w:pgNumType w:fmt="numberInDash"/>
          <w:cols w:space="0" w:num="1"/>
          <w:rtlGutter w:val="0"/>
          <w:docGrid w:type="lines" w:linePitch="312" w:charSpace="0"/>
        </w:sectPr>
      </w:pPr>
      <w:r>
        <w:rPr>
          <w:rFonts w:hint="eastAsia"/>
          <w:lang w:val="en-US" w:eastAsia="zh-CN"/>
        </w:rPr>
        <w:t xml:space="preserve">2024年3月27日    </w:t>
      </w:r>
    </w:p>
    <w:p>
      <w:pPr>
        <w:pStyle w:val="5"/>
        <w:ind w:left="0" w:leftChars="0" w:firstLine="0" w:firstLineChars="0"/>
        <w:rPr>
          <w:rFonts w:hint="eastAsia" w:ascii="方正小标宋简体" w:hAnsi="方正小标宋简体" w:eastAsia="方正小标宋简体" w:cs="方正小标宋简体"/>
          <w:color w:val="auto"/>
          <w:kern w:val="2"/>
          <w:sz w:val="32"/>
          <w:szCs w:val="32"/>
          <w:lang w:val="en-US" w:eastAsia="zh-CN" w:bidi="ar-SA"/>
        </w:rPr>
      </w:pPr>
      <w:r>
        <w:rPr>
          <w:rFonts w:hint="eastAsia" w:ascii="方正小标宋简体" w:hAnsi="方正小标宋简体" w:eastAsia="方正小标宋简体" w:cs="方正小标宋简体"/>
          <w:b w:val="0"/>
          <w:bCs w:val="0"/>
          <w:sz w:val="32"/>
          <w:szCs w:val="32"/>
          <w:lang w:val="en-US" w:eastAsia="zh-CN"/>
        </w:rPr>
        <w:t>附件1：</w:t>
      </w:r>
      <w:r>
        <w:rPr>
          <w:rFonts w:hint="eastAsia" w:ascii="黑体" w:hAnsi="黑体" w:eastAsia="黑体" w:cs="黑体"/>
          <w:sz w:val="32"/>
          <w:szCs w:val="32"/>
          <w:lang w:val="en-US" w:eastAsia="zh-CN"/>
        </w:rPr>
        <w:t xml:space="preserve">        </w:t>
      </w:r>
      <w:r>
        <w:rPr>
          <w:rFonts w:hint="eastAsia" w:ascii="方正小标宋简体" w:hAnsi="方正小标宋简体" w:eastAsia="方正小标宋简体" w:cs="方正小标宋简体"/>
          <w:color w:val="auto"/>
          <w:kern w:val="2"/>
          <w:sz w:val="32"/>
          <w:szCs w:val="32"/>
          <w:lang w:val="en-US" w:eastAsia="zh-CN" w:bidi="ar-SA"/>
        </w:rPr>
        <w:t>（一）微专业学生报名流程</w:t>
      </w:r>
    </w:p>
    <w:p>
      <w:pPr>
        <w:keepNext w:val="0"/>
        <w:keepLines w:val="0"/>
        <w:pageBreakBefore w:val="0"/>
        <w:widowControl/>
        <w:numPr>
          <w:ilvl w:val="0"/>
          <w:numId w:val="0"/>
        </w:numPr>
        <w:kinsoku/>
        <w:wordWrap/>
        <w:overflowPunct/>
        <w:topLinePunct w:val="0"/>
        <w:autoSpaceDE/>
        <w:autoSpaceDN/>
        <w:bidi w:val="0"/>
        <w:adjustRightInd/>
        <w:spacing w:line="540" w:lineRule="exact"/>
        <w:jc w:val="center"/>
        <w:textAlignment w:val="auto"/>
        <w:rPr>
          <w:rFonts w:hint="eastAsia" w:ascii="方正小标宋简体" w:hAnsi="方正小标宋简体" w:eastAsia="方正小标宋简体" w:cs="方正小标宋简体"/>
          <w:color w:val="auto"/>
          <w:kern w:val="2"/>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1.学生登录“教学综合信息服务平台”，点击“报名申请”模块下的“辅修报名”。</w:t>
      </w: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drawing>
          <wp:anchor distT="0" distB="0" distL="114300" distR="114300" simplePos="0" relativeHeight="251659264" behindDoc="1" locked="0" layoutInCell="1" allowOverlap="1">
            <wp:simplePos x="0" y="0"/>
            <wp:positionH relativeFrom="column">
              <wp:posOffset>226060</wp:posOffset>
            </wp:positionH>
            <wp:positionV relativeFrom="paragraph">
              <wp:posOffset>273685</wp:posOffset>
            </wp:positionV>
            <wp:extent cx="5269865" cy="1694180"/>
            <wp:effectExtent l="0" t="0" r="6985" b="1270"/>
            <wp:wrapNone/>
            <wp:docPr id="2" name="图片 2" descr="171132646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11326461835"/>
                    <pic:cNvPicPr>
                      <a:picLocks noChangeAspect="1"/>
                    </pic:cNvPicPr>
                  </pic:nvPicPr>
                  <pic:blipFill>
                    <a:blip r:embed="rId7"/>
                    <a:stretch>
                      <a:fillRect/>
                    </a:stretch>
                  </pic:blipFill>
                  <pic:spPr>
                    <a:xfrm>
                      <a:off x="0" y="0"/>
                      <a:ext cx="5269865" cy="1694180"/>
                    </a:xfrm>
                    <a:prstGeom prst="rect">
                      <a:avLst/>
                    </a:prstGeom>
                  </pic:spPr>
                </pic:pic>
              </a:graphicData>
            </a:graphic>
          </wp:anchor>
        </w:drawing>
      </w: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pacing w:line="54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2.点击“辅修报名”，出现微专业列表，选择想要报名的</w:t>
      </w:r>
      <w:r>
        <w:rPr>
          <w:rFonts w:hint="eastAsia" w:ascii="仿宋_GB2312" w:hAnsi="仿宋_GB2312" w:cs="仿宋_GB2312"/>
          <w:color w:val="auto"/>
          <w:kern w:val="2"/>
          <w:sz w:val="32"/>
          <w:szCs w:val="32"/>
          <w:lang w:val="en-US" w:eastAsia="zh-CN" w:bidi="ar-SA"/>
        </w:rPr>
        <w:t>微</w:t>
      </w:r>
      <w:r>
        <w:rPr>
          <w:rFonts w:hint="eastAsia" w:ascii="仿宋_GB2312" w:hAnsi="仿宋_GB2312" w:eastAsia="仿宋_GB2312" w:cs="仿宋_GB2312"/>
          <w:color w:val="auto"/>
          <w:kern w:val="2"/>
          <w:sz w:val="32"/>
          <w:szCs w:val="32"/>
          <w:lang w:val="en-US" w:eastAsia="zh-CN" w:bidi="ar-SA"/>
        </w:rPr>
        <w:t>专业，点击“报名”按钮，完成报名。</w:t>
      </w: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default" w:ascii="仿宋_GB2312" w:hAnsi="仿宋_GB2312" w:eastAsia="仿宋_GB2312" w:cs="仿宋_GB2312"/>
          <w:color w:val="auto"/>
          <w:kern w:val="2"/>
          <w:sz w:val="32"/>
          <w:szCs w:val="32"/>
          <w:lang w:val="en-US" w:eastAsia="zh-CN" w:bidi="ar-SA"/>
        </w:rPr>
      </w:pPr>
      <w:r>
        <w:drawing>
          <wp:anchor distT="0" distB="0" distL="114300" distR="114300" simplePos="0" relativeHeight="251660288" behindDoc="1" locked="0" layoutInCell="1" allowOverlap="1">
            <wp:simplePos x="0" y="0"/>
            <wp:positionH relativeFrom="column">
              <wp:posOffset>287020</wp:posOffset>
            </wp:positionH>
            <wp:positionV relativeFrom="paragraph">
              <wp:posOffset>174625</wp:posOffset>
            </wp:positionV>
            <wp:extent cx="5264785" cy="2294255"/>
            <wp:effectExtent l="0" t="0" r="12065" b="10795"/>
            <wp:wrapTight wrapText="bothSides">
              <wp:wrapPolygon>
                <wp:start x="0" y="0"/>
                <wp:lineTo x="0" y="21343"/>
                <wp:lineTo x="21493" y="21343"/>
                <wp:lineTo x="21493"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64785" cy="2294255"/>
                    </a:xfrm>
                    <a:prstGeom prst="rect">
                      <a:avLst/>
                    </a:prstGeom>
                    <a:noFill/>
                    <a:ln w="9525">
                      <a:noFill/>
                    </a:ln>
                  </pic:spPr>
                </pic:pic>
              </a:graphicData>
            </a:graphic>
          </wp:anchor>
        </w:drawing>
      </w:r>
      <w:r>
        <w:rPr>
          <w:sz w:val="21"/>
        </w:rPr>
        <mc:AlternateContent>
          <mc:Choice Requires="wps">
            <w:drawing>
              <wp:anchor distT="0" distB="0" distL="114300" distR="114300" simplePos="0" relativeHeight="251661312" behindDoc="0" locked="0" layoutInCell="1" allowOverlap="1">
                <wp:simplePos x="0" y="0"/>
                <wp:positionH relativeFrom="column">
                  <wp:posOffset>4402455</wp:posOffset>
                </wp:positionH>
                <wp:positionV relativeFrom="paragraph">
                  <wp:posOffset>-1514475</wp:posOffset>
                </wp:positionV>
                <wp:extent cx="315595" cy="212725"/>
                <wp:effectExtent l="6350" t="6350" r="20955" b="9525"/>
                <wp:wrapNone/>
                <wp:docPr id="4" name="圆角矩形 4"/>
                <wp:cNvGraphicFramePr/>
                <a:graphic xmlns:a="http://schemas.openxmlformats.org/drawingml/2006/main">
                  <a:graphicData uri="http://schemas.microsoft.com/office/word/2010/wordprocessingShape">
                    <wps:wsp>
                      <wps:cNvSpPr/>
                      <wps:spPr>
                        <a:xfrm>
                          <a:off x="5545455" y="6522085"/>
                          <a:ext cx="315595" cy="212725"/>
                        </a:xfrm>
                        <a:prstGeom prst="roundRect">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46.65pt;margin-top:-119.25pt;height:16.75pt;width:24.85pt;z-index:251661312;v-text-anchor:middle;mso-width-relative:page;mso-height-relative:page;" filled="f" stroked="t" coordsize="21600,21600" arcsize="0.166666666666667" o:gfxdata="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KiCFFNsAAAANAQAA&#10;DwAAAAAAAAABACAAAAAiAAAAZHJzL2Rvd25yZXYueG1sUEsBAhQAFAAAAAgAh07iQNsfjkmIAgAA&#10;4QQAAA4AAAAAAAAAAQAgAAAAKgEAAGRycy9lMm9Eb2MueG1sUEsFBgAAAAAGAAYAWQEAACQGAAAA&#10;AA==&#10;">
                <v:fill on="f" focussize="0,0"/>
                <v:stroke weight="1pt" color="#FF0000 [2404]" miterlimit="8" joinstyle="miter"/>
                <v:imagedata o:title=""/>
                <o:lock v:ext="edit" aspectratio="f"/>
              </v:roundrect>
            </w:pict>
          </mc:Fallback>
        </mc:AlternateContent>
      </w: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default" w:ascii="仿宋_GB2312" w:hAnsi="仿宋_GB2312" w:eastAsia="仿宋_GB2312" w:cs="仿宋_GB2312"/>
          <w:color w:val="auto"/>
          <w:kern w:val="2"/>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pacing w:line="540" w:lineRule="exact"/>
        <w:ind w:leftChars="0"/>
        <w:jc w:val="both"/>
        <w:textAlignment w:val="auto"/>
        <w:rPr>
          <w:rFonts w:hint="default" w:ascii="仿宋_GB2312" w:hAnsi="仿宋_GB2312" w:eastAsia="仿宋_GB2312" w:cs="仿宋_GB2312"/>
          <w:color w:val="auto"/>
          <w:kern w:val="2"/>
          <w:sz w:val="32"/>
          <w:szCs w:val="32"/>
          <w:lang w:val="en-US" w:eastAsia="zh-CN" w:bidi="ar-SA"/>
        </w:rPr>
      </w:pPr>
    </w:p>
    <w:p>
      <w:pPr>
        <w:pStyle w:val="5"/>
        <w:ind w:left="0" w:leftChars="0" w:firstLine="0" w:firstLineChars="0"/>
        <w:rPr>
          <w:rFonts w:hint="default"/>
          <w:lang w:val="en-US" w:eastAsia="zh-CN"/>
        </w:rPr>
      </w:pPr>
    </w:p>
    <w:p>
      <w:pPr>
        <w:pStyle w:val="5"/>
        <w:ind w:left="0" w:leftChars="0" w:firstLine="0" w:firstLineChars="0"/>
        <w:rPr>
          <w:rFonts w:hint="default"/>
          <w:lang w:val="en-US" w:eastAsia="zh-CN"/>
        </w:rPr>
      </w:pPr>
    </w:p>
    <w:p>
      <w:pPr>
        <w:pStyle w:val="5"/>
        <w:ind w:left="0" w:leftChars="0" w:firstLine="0" w:firstLineChars="0"/>
        <w:rPr>
          <w:rFonts w:hint="default"/>
          <w:lang w:val="en-US" w:eastAsia="zh-CN"/>
        </w:rPr>
      </w:pPr>
    </w:p>
    <w:p>
      <w:pPr>
        <w:pStyle w:val="5"/>
        <w:ind w:left="0" w:leftChars="0" w:firstLine="0" w:firstLineChars="0"/>
        <w:rPr>
          <w:rFonts w:hint="default"/>
          <w:lang w:val="en-US" w:eastAsia="zh-CN"/>
        </w:rPr>
      </w:pPr>
    </w:p>
    <w:p>
      <w:pPr>
        <w:pStyle w:val="5"/>
        <w:ind w:left="0" w:leftChars="0" w:firstLine="0" w:firstLineChars="0"/>
        <w:rPr>
          <w:rFonts w:hint="default"/>
          <w:lang w:val="en-US" w:eastAsia="zh-CN"/>
        </w:rPr>
      </w:pPr>
    </w:p>
    <w:p>
      <w:pPr>
        <w:pStyle w:val="5"/>
        <w:ind w:left="0" w:leftChars="0" w:firstLine="0" w:firstLineChars="0"/>
        <w:rPr>
          <w:rFonts w:hint="default"/>
          <w:lang w:val="en-US" w:eastAsia="zh-CN"/>
        </w:rPr>
      </w:pPr>
    </w:p>
    <w:p>
      <w:pPr>
        <w:pStyle w:val="5"/>
        <w:ind w:left="0" w:leftChars="0" w:firstLine="0" w:firstLineChars="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（二）微专业二级学院审批流程</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color w:val="auto"/>
          <w:kern w:val="2"/>
          <w:sz w:val="36"/>
          <w:szCs w:val="36"/>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1.二级</w:t>
      </w:r>
      <w:r>
        <w:rPr>
          <w:rFonts w:hint="eastAsia" w:ascii="仿宋_GB2312" w:hAnsi="仿宋_GB2312" w:eastAsia="仿宋_GB2312" w:cs="仿宋_GB2312"/>
          <w:color w:val="auto"/>
          <w:kern w:val="2"/>
          <w:sz w:val="32"/>
          <w:szCs w:val="32"/>
          <w:lang w:val="en-US" w:eastAsia="zh-CN" w:bidi="ar-SA"/>
        </w:rPr>
        <w:t>学院登录“教学综合信息服务平台”，点击“学籍管理”模块下的“辅修报名管理”---“辅修报名审核”，即可看到报名微专业学生名单。</w:t>
      </w:r>
      <w:r>
        <w:rPr>
          <w:rFonts w:hint="eastAsia" w:ascii="仿宋_GB2312" w:hAnsi="仿宋_GB2312" w:cs="仿宋_GB2312"/>
          <w:color w:val="auto"/>
          <w:kern w:val="2"/>
          <w:sz w:val="32"/>
          <w:szCs w:val="32"/>
          <w:lang w:val="en-US" w:eastAsia="zh-CN" w:bidi="ar-SA"/>
        </w:rPr>
        <w:t>点击右上角“审核”按钮，进行审核。</w:t>
      </w:r>
    </w:p>
    <w:p>
      <w:pPr>
        <w:keepNext w:val="0"/>
        <w:keepLines w:val="0"/>
        <w:pageBreakBefore w:val="0"/>
        <w:widowControl/>
        <w:numPr>
          <w:ilvl w:val="0"/>
          <w:numId w:val="0"/>
        </w:numPr>
        <w:kinsoku/>
        <w:wordWrap/>
        <w:overflowPunct/>
        <w:topLinePunct w:val="0"/>
        <w:autoSpaceDE/>
        <w:autoSpaceDN/>
        <w:bidi w:val="0"/>
        <w:adjustRightInd/>
        <w:spacing w:line="540" w:lineRule="exact"/>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drawing>
          <wp:anchor distT="0" distB="0" distL="114300" distR="114300" simplePos="0" relativeHeight="251662336" behindDoc="1" locked="0" layoutInCell="1" allowOverlap="1">
            <wp:simplePos x="0" y="0"/>
            <wp:positionH relativeFrom="column">
              <wp:posOffset>106680</wp:posOffset>
            </wp:positionH>
            <wp:positionV relativeFrom="paragraph">
              <wp:posOffset>56515</wp:posOffset>
            </wp:positionV>
            <wp:extent cx="5264785" cy="1729105"/>
            <wp:effectExtent l="0" t="0" r="12065" b="4445"/>
            <wp:wrapTight wrapText="bothSides">
              <wp:wrapPolygon>
                <wp:start x="0" y="0"/>
                <wp:lineTo x="0" y="21418"/>
                <wp:lineTo x="21493" y="21418"/>
                <wp:lineTo x="21493" y="0"/>
                <wp:lineTo x="0" y="0"/>
              </wp:wrapPolygon>
            </wp:wrapTight>
            <wp:docPr id="5" name="图片 5" descr="1711501495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11501495774"/>
                    <pic:cNvPicPr>
                      <a:picLocks noChangeAspect="1"/>
                    </pic:cNvPicPr>
                  </pic:nvPicPr>
                  <pic:blipFill>
                    <a:blip r:embed="rId9"/>
                    <a:stretch>
                      <a:fillRect/>
                    </a:stretch>
                  </pic:blipFill>
                  <pic:spPr>
                    <a:xfrm>
                      <a:off x="0" y="0"/>
                      <a:ext cx="5264785" cy="1729105"/>
                    </a:xfrm>
                    <a:prstGeom prst="rect">
                      <a:avLst/>
                    </a:prstGeom>
                  </pic:spPr>
                </pic:pic>
              </a:graphicData>
            </a:graphic>
          </wp:anchor>
        </w:drawing>
      </w:r>
    </w:p>
    <w:p>
      <w:pPr>
        <w:pStyle w:val="5"/>
        <w:ind w:left="0" w:leftChars="0" w:firstLine="0" w:firstLineChars="0"/>
        <w:rPr>
          <w:rFonts w:hint="default"/>
          <w:lang w:val="en-US" w:eastAsia="zh-CN"/>
        </w:rPr>
      </w:pPr>
    </w:p>
    <w:p>
      <w:pPr>
        <w:pStyle w:val="5"/>
        <w:ind w:left="0" w:leftChars="0" w:firstLine="0" w:firstLineChars="0"/>
        <w:rPr>
          <w:rFonts w:hint="default"/>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textAlignment w:val="auto"/>
        <w:rPr>
          <w:rFonts w:hint="eastAsia"/>
          <w:lang w:val="en-US" w:eastAsia="zh-CN"/>
        </w:rPr>
      </w:pPr>
      <w:r>
        <w:rPr>
          <w:rFonts w:hint="eastAsia"/>
          <w:lang w:val="en-US" w:eastAsia="zh-CN"/>
        </w:rPr>
        <w:t>2.二级学院点击“毕业管理”模块下的“毕业生信息查询”---“学生成绩总表打印”，可查询报名学生主修专业的课程成绩。</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640" w:firstLineChars="200"/>
        <w:textAlignment w:val="auto"/>
        <w:rPr>
          <w:rFonts w:hint="eastAsia"/>
          <w:lang w:val="en-US" w:eastAsia="zh-CN"/>
        </w:rPr>
      </w:pPr>
      <w:r>
        <w:rPr>
          <w:rFonts w:hint="default"/>
          <w:lang w:val="en-US" w:eastAsia="zh-CN"/>
        </w:rPr>
        <w:drawing>
          <wp:anchor distT="0" distB="0" distL="114300" distR="114300" simplePos="0" relativeHeight="251663360" behindDoc="1" locked="0" layoutInCell="1" allowOverlap="1">
            <wp:simplePos x="0" y="0"/>
            <wp:positionH relativeFrom="column">
              <wp:posOffset>-95250</wp:posOffset>
            </wp:positionH>
            <wp:positionV relativeFrom="paragraph">
              <wp:posOffset>45720</wp:posOffset>
            </wp:positionV>
            <wp:extent cx="5607685" cy="1667510"/>
            <wp:effectExtent l="0" t="0" r="12065" b="8890"/>
            <wp:wrapTight wrapText="bothSides">
              <wp:wrapPolygon>
                <wp:start x="0" y="0"/>
                <wp:lineTo x="0" y="21468"/>
                <wp:lineTo x="21500" y="21468"/>
                <wp:lineTo x="21500" y="0"/>
                <wp:lineTo x="0" y="0"/>
              </wp:wrapPolygon>
            </wp:wrapTight>
            <wp:docPr id="6" name="图片 6" descr="1711526056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11526056718"/>
                    <pic:cNvPicPr>
                      <a:picLocks noChangeAspect="1"/>
                    </pic:cNvPicPr>
                  </pic:nvPicPr>
                  <pic:blipFill>
                    <a:blip r:embed="rId10"/>
                    <a:stretch>
                      <a:fillRect/>
                    </a:stretch>
                  </pic:blipFill>
                  <pic:spPr>
                    <a:xfrm>
                      <a:off x="0" y="0"/>
                      <a:ext cx="5607685" cy="1667510"/>
                    </a:xfrm>
                    <a:prstGeom prst="rect">
                      <a:avLst/>
                    </a:prstGeom>
                  </pic:spPr>
                </pic:pic>
              </a:graphicData>
            </a:graphic>
          </wp:anchor>
        </w:drawing>
      </w:r>
      <w:r>
        <w:rPr>
          <w:rFonts w:hint="eastAsia"/>
          <w:lang w:val="en-US" w:eastAsia="zh-CN"/>
        </w:rPr>
        <w:t>3.开课学院审核完成后可点击右上角“导出”按钮，导出报名成功学生名单。</w:t>
      </w: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lang w:val="en-US" w:eastAsia="zh-CN"/>
        </w:rPr>
      </w:pPr>
      <w:r>
        <w:rPr>
          <w:rFonts w:hint="default"/>
          <w:lang w:val="en-US" w:eastAsia="zh-CN"/>
        </w:rPr>
        <w:drawing>
          <wp:anchor distT="0" distB="0" distL="114300" distR="114300" simplePos="0" relativeHeight="251664384" behindDoc="1" locked="0" layoutInCell="1" allowOverlap="1">
            <wp:simplePos x="0" y="0"/>
            <wp:positionH relativeFrom="column">
              <wp:posOffset>-119380</wp:posOffset>
            </wp:positionH>
            <wp:positionV relativeFrom="paragraph">
              <wp:posOffset>22225</wp:posOffset>
            </wp:positionV>
            <wp:extent cx="5604510" cy="1572260"/>
            <wp:effectExtent l="0" t="0" r="15240" b="8890"/>
            <wp:wrapNone/>
            <wp:docPr id="8" name="图片 8" descr="1711526238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11526238762"/>
                    <pic:cNvPicPr>
                      <a:picLocks noChangeAspect="1"/>
                    </pic:cNvPicPr>
                  </pic:nvPicPr>
                  <pic:blipFill>
                    <a:blip r:embed="rId11"/>
                    <a:stretch>
                      <a:fillRect/>
                    </a:stretch>
                  </pic:blipFill>
                  <pic:spPr>
                    <a:xfrm>
                      <a:off x="0" y="0"/>
                      <a:ext cx="5604510" cy="1572260"/>
                    </a:xfrm>
                    <a:prstGeom prst="rect">
                      <a:avLst/>
                    </a:prstGeom>
                  </pic:spPr>
                </pic:pic>
              </a:graphicData>
            </a:graphic>
          </wp:anchor>
        </w:drawing>
      </w: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 xml:space="preserve">附件2：   </w:t>
      </w:r>
      <w:r>
        <w:rPr>
          <w:rFonts w:hint="eastAsia" w:ascii="方正小标宋简体" w:hAnsi="方正小标宋简体" w:eastAsia="方正小标宋简体" w:cs="方正小标宋简体"/>
          <w:b w:val="0"/>
          <w:bCs w:val="0"/>
          <w:sz w:val="32"/>
          <w:szCs w:val="32"/>
          <w:u w:val="single"/>
          <w:lang w:val="en-US" w:eastAsia="zh-CN"/>
        </w:rPr>
        <w:t xml:space="preserve">          </w:t>
      </w:r>
      <w:r>
        <w:rPr>
          <w:rFonts w:hint="eastAsia" w:ascii="方正小标宋简体" w:hAnsi="方正小标宋简体" w:eastAsia="方正小标宋简体" w:cs="方正小标宋简体"/>
          <w:b w:val="0"/>
          <w:bCs w:val="0"/>
          <w:sz w:val="32"/>
          <w:szCs w:val="32"/>
          <w:lang w:val="en-US" w:eastAsia="zh-CN"/>
        </w:rPr>
        <w:t>学院微专业录取学生汇总表</w:t>
      </w: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sz w:val="28"/>
          <w:szCs w:val="28"/>
          <w:lang w:val="en-US" w:eastAsia="zh-CN"/>
        </w:rPr>
      </w:pPr>
      <w:r>
        <w:rPr>
          <w:rFonts w:hint="eastAsia"/>
          <w:sz w:val="28"/>
          <w:szCs w:val="28"/>
          <w:lang w:val="en-US" w:eastAsia="zh-CN"/>
        </w:rPr>
        <w:t>微专业开设学院：                     填表时间：</w:t>
      </w:r>
    </w:p>
    <w:tbl>
      <w:tblPr>
        <w:tblStyle w:val="6"/>
        <w:tblW w:w="10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1080"/>
        <w:gridCol w:w="1523"/>
        <w:gridCol w:w="702"/>
        <w:gridCol w:w="2190"/>
        <w:gridCol w:w="2395"/>
        <w:gridCol w:w="1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学号</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性别</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主修专业所在学院</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主修专业所在班级</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报名修读微专业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lang w:val="en-US" w:eastAsia="zh-CN"/>
        </w:rPr>
      </w:pPr>
      <w:r>
        <w:rPr>
          <w:rFonts w:hint="default"/>
          <w:lang w:val="en-US" w:eastAsia="zh-CN"/>
        </w:rPr>
        <w:t>微专业负责人（签名）：        开设学院负责人：（签名）</w:t>
      </w: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附件3：        三明学院微专业管理办法（试行）</w:t>
      </w:r>
    </w:p>
    <w:p>
      <w:pPr>
        <w:pStyle w:val="2"/>
        <w:keepNext w:val="0"/>
        <w:keepLines w:val="0"/>
        <w:pageBreakBefore w:val="0"/>
        <w:widowControl/>
        <w:kinsoku/>
        <w:wordWrap/>
        <w:overflowPunct/>
        <w:topLinePunct w:val="0"/>
        <w:autoSpaceDE/>
        <w:autoSpaceDN/>
        <w:bidi w:val="0"/>
        <w:adjustRightInd/>
        <w:snapToGrid/>
        <w:spacing w:after="0" w:afterLines="0" w:line="540" w:lineRule="exact"/>
        <w:ind w:left="0" w:leftChars="0" w:firstLine="0" w:firstLineChars="0"/>
        <w:jc w:val="both"/>
        <w:textAlignment w:val="auto"/>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0" w:firstLineChars="0"/>
        <w:jc w:val="center"/>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r>
        <w:rPr>
          <w:rFonts w:hint="eastAsia" w:ascii="黑体" w:hAnsi="黑体" w:eastAsia="黑体" w:cs="黑体"/>
          <w:i w:val="0"/>
          <w:iCs w:val="0"/>
          <w:caps w:val="0"/>
          <w:color w:val="auto"/>
          <w:spacing w:val="0"/>
          <w:kern w:val="0"/>
          <w:sz w:val="32"/>
          <w:szCs w:val="32"/>
          <w:u w:val="none"/>
          <w:shd w:val="clear" w:fill="FFFFFF"/>
          <w:lang w:val="en-US" w:eastAsia="zh-CN" w:bidi="ar"/>
        </w:rPr>
        <w:t>第一章 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0" w:firstLineChars="200"/>
        <w:jc w:val="both"/>
        <w:textAlignment w:val="auto"/>
        <w:rPr>
          <w:rFonts w:hint="eastAsia" w:ascii="楷体_GB2312" w:hAnsi="楷体_GB2312" w:eastAsia="楷体_GB2312" w:cs="楷体_GB2312"/>
          <w:i w:val="0"/>
          <w:iCs w:val="0"/>
          <w:caps w:val="0"/>
          <w:color w:val="auto"/>
          <w:spacing w:val="0"/>
          <w:kern w:val="0"/>
          <w:sz w:val="32"/>
          <w:szCs w:val="32"/>
          <w:u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firstLineChars="200"/>
        <w:jc w:val="both"/>
        <w:textAlignment w:val="auto"/>
        <w:rPr>
          <w:rFonts w:hint="eastAsia" w:ascii="仿宋_GB2312" w:hAnsi="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第一条</w:t>
      </w:r>
      <w:r>
        <w:rPr>
          <w:rFonts w:hint="eastAsia" w:ascii="仿宋_GB2312" w:hAnsi="仿宋_GB2312" w:cs="仿宋_GB2312"/>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为主动适应新技术、新产业、新业态、新模式发展需求，充分发挥我校学科专业优势，加快推进新文科、新工科交叉融合建设，满足高素质应用型人才培养以及学生的个性化发展和多样化需求，进一步加强学科交叉，深化产教融合协同育人机制，推动人才培养模式改革，特制定本</w:t>
      </w:r>
      <w:r>
        <w:rPr>
          <w:rFonts w:hint="eastAsia" w:ascii="仿宋_GB2312" w:hAnsi="仿宋_GB2312" w:cs="仿宋_GB2312"/>
          <w:i w:val="0"/>
          <w:iCs w:val="0"/>
          <w:caps w:val="0"/>
          <w:color w:val="auto"/>
          <w:spacing w:val="0"/>
          <w:kern w:val="0"/>
          <w:sz w:val="32"/>
          <w:szCs w:val="32"/>
          <w:u w:val="none"/>
          <w:shd w:val="clear" w:fill="FFFFFF"/>
          <w:lang w:val="en-US" w:eastAsia="zh-CN" w:bidi="ar"/>
        </w:rPr>
        <w:t>办法</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firstLineChars="200"/>
        <w:jc w:val="both"/>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第二条</w:t>
      </w:r>
      <w:r>
        <w:rPr>
          <w:rFonts w:hint="eastAsia" w:ascii="仿宋_GB2312" w:hAnsi="仿宋_GB2312" w:cs="仿宋_GB2312"/>
          <w:i w:val="0"/>
          <w:iCs w:val="0"/>
          <w:caps w:val="0"/>
          <w:color w:val="auto"/>
          <w:spacing w:val="0"/>
          <w:kern w:val="0"/>
          <w:sz w:val="32"/>
          <w:szCs w:val="32"/>
          <w:u w:val="none"/>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微专业是指围绕某个特定专业领域、研究方向或者核心素养，提炼开设的一组</w:t>
      </w:r>
      <w:r>
        <w:rPr>
          <w:rFonts w:hint="eastAsia" w:ascii="仿宋_GB2312" w:hAnsi="仿宋_GB2312" w:cs="仿宋_GB2312"/>
          <w:i w:val="0"/>
          <w:iCs w:val="0"/>
          <w:caps w:val="0"/>
          <w:color w:val="auto"/>
          <w:spacing w:val="0"/>
          <w:kern w:val="0"/>
          <w:sz w:val="32"/>
          <w:szCs w:val="32"/>
          <w:u w:val="none"/>
          <w:shd w:val="clear" w:fill="FFFFFF"/>
          <w:lang w:val="en-US" w:eastAsia="zh-CN" w:bidi="ar"/>
        </w:rPr>
        <w:t>重要</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 xml:space="preserve">课程。微专业具有小学分、精课程、高聚焦、跨学科特征，通过灵活、系统的培养，提高学生知识结构的复合性，使学生具备相应的能力素养，提升与社会需求的匹配度。 </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40" w:lineRule="exact"/>
        <w:ind w:firstLine="643" w:firstLineChars="200"/>
        <w:jc w:val="both"/>
        <w:textAlignment w:val="auto"/>
        <w:rPr>
          <w:rFonts w:hint="eastAsia"/>
          <w:lang w:val="en-US" w:eastAsia="zh-CN"/>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第三条</w:t>
      </w:r>
      <w:r>
        <w:rPr>
          <w:rFonts w:hint="eastAsia"/>
          <w:lang w:val="en-US" w:eastAsia="zh-CN"/>
        </w:rPr>
        <w:t xml:space="preserve"> 微专业建设应紧紧围绕立德树人根本任务，坚持以学生为中心，遵循高等教育教学规律和人才成长规律，符合学校本科人才培养定位。鼓励以一流本科专业建设点为依托打造微专业，鼓励跨学科、跨学院、跨专业设计微专业，鼓励学院和校内外科研机构、行业企业合作开发微专业。</w:t>
      </w: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eastAsia"/>
          <w:lang w:val="en-US" w:eastAsia="zh-CN"/>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第四条</w:t>
      </w:r>
      <w:r>
        <w:rPr>
          <w:rFonts w:hint="eastAsia"/>
          <w:lang w:val="en-US" w:eastAsia="zh-CN"/>
        </w:rPr>
        <w:t xml:space="preserve"> 微专业人才培养方案科学合理，专业培养目标精准，课程体系能够支撑微专业培养目标，所含课程符合新技术、新业态、新模式发展趋势。原则上不开设普通高等学校本科专业目录内专业，且不开设我校现有本科专业人才培养方案中的已有课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0" w:firstLineChars="0"/>
        <w:jc w:val="both"/>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0" w:firstLineChars="0"/>
        <w:jc w:val="center"/>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r>
        <w:rPr>
          <w:rFonts w:hint="eastAsia" w:ascii="黑体" w:hAnsi="黑体" w:eastAsia="黑体" w:cs="黑体"/>
          <w:i w:val="0"/>
          <w:iCs w:val="0"/>
          <w:caps w:val="0"/>
          <w:color w:val="auto"/>
          <w:spacing w:val="0"/>
          <w:kern w:val="0"/>
          <w:sz w:val="32"/>
          <w:szCs w:val="32"/>
          <w:u w:val="none"/>
          <w:shd w:val="clear" w:fill="FFFFFF"/>
          <w:lang w:val="en-US" w:eastAsia="zh-CN" w:bidi="ar"/>
        </w:rPr>
        <w:t>第二章 课程设置与教学组织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0" w:firstLineChars="0"/>
        <w:jc w:val="both"/>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第五条</w:t>
      </w:r>
      <w:r>
        <w:rPr>
          <w:rFonts w:hint="eastAsia"/>
          <w:lang w:val="en-US" w:eastAsia="zh-CN"/>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微专业基于现有专业或特定行业、领域，围绕核心概念和技能构建课程体系，开设若干门课程。每个微专业根据实际需求，学制原则上为</w:t>
      </w:r>
      <w:r>
        <w:rPr>
          <w:rFonts w:hint="eastAsia" w:ascii="宋体" w:hAnsi="宋体" w:eastAsia="宋体" w:cs="宋体"/>
          <w:i w:val="0"/>
          <w:iCs w:val="0"/>
          <w:caps w:val="0"/>
          <w:color w:val="auto"/>
          <w:spacing w:val="0"/>
          <w:kern w:val="0"/>
          <w:sz w:val="32"/>
          <w:szCs w:val="32"/>
          <w:u w:val="none"/>
          <w:shd w:val="clear" w:fill="FFFFFF"/>
          <w:lang w:val="en-US" w:eastAsia="zh-CN" w:bidi="ar"/>
        </w:rPr>
        <w:t>1—2</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年，课程一般开设</w:t>
      </w:r>
      <w:r>
        <w:rPr>
          <w:rFonts w:hint="eastAsia" w:ascii="宋体" w:hAnsi="宋体" w:eastAsia="宋体" w:cs="宋体"/>
          <w:i w:val="0"/>
          <w:iCs w:val="0"/>
          <w:caps w:val="0"/>
          <w:color w:val="auto"/>
          <w:spacing w:val="0"/>
          <w:kern w:val="0"/>
          <w:sz w:val="32"/>
          <w:szCs w:val="32"/>
          <w:u w:val="none"/>
          <w:shd w:val="clear" w:fill="FFFFFF"/>
          <w:lang w:val="en-US" w:eastAsia="zh-CN" w:bidi="ar"/>
        </w:rPr>
        <w:t>5</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w:t>
      </w:r>
      <w:r>
        <w:rPr>
          <w:rFonts w:hint="eastAsia" w:ascii="宋体" w:hAnsi="宋体" w:eastAsia="宋体" w:cs="宋体"/>
          <w:i w:val="0"/>
          <w:iCs w:val="0"/>
          <w:caps w:val="0"/>
          <w:color w:val="auto"/>
          <w:spacing w:val="0"/>
          <w:kern w:val="0"/>
          <w:sz w:val="32"/>
          <w:szCs w:val="32"/>
          <w:u w:val="none"/>
          <w:shd w:val="clear" w:fill="FFFFFF"/>
          <w:lang w:val="en-US" w:eastAsia="zh-CN" w:bidi="ar"/>
        </w:rPr>
        <w:t>10</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门，总学分控制在</w:t>
      </w:r>
      <w:r>
        <w:rPr>
          <w:rFonts w:hint="eastAsia" w:ascii="宋体" w:hAnsi="宋体" w:eastAsia="宋体" w:cs="宋体"/>
          <w:i w:val="0"/>
          <w:iCs w:val="0"/>
          <w:caps w:val="0"/>
          <w:color w:val="auto"/>
          <w:spacing w:val="0"/>
          <w:kern w:val="0"/>
          <w:sz w:val="32"/>
          <w:szCs w:val="32"/>
          <w:u w:val="none"/>
          <w:shd w:val="clear" w:fill="FFFFFF"/>
          <w:lang w:val="en-US" w:eastAsia="zh-CN" w:bidi="ar"/>
        </w:rPr>
        <w:t>10</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w:t>
      </w:r>
      <w:r>
        <w:rPr>
          <w:rFonts w:hint="eastAsia" w:ascii="宋体" w:hAnsi="宋体" w:eastAsia="宋体" w:cs="宋体"/>
          <w:i w:val="0"/>
          <w:iCs w:val="0"/>
          <w:caps w:val="0"/>
          <w:color w:val="auto"/>
          <w:spacing w:val="0"/>
          <w:kern w:val="0"/>
          <w:sz w:val="32"/>
          <w:szCs w:val="32"/>
          <w:u w:val="none"/>
          <w:shd w:val="clear" w:fill="FFFFFF"/>
          <w:lang w:val="en-US" w:eastAsia="zh-CN" w:bidi="ar"/>
        </w:rPr>
        <w:t>30</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学分左右，每门课程原则上为</w:t>
      </w:r>
      <w:r>
        <w:rPr>
          <w:rFonts w:hint="eastAsia" w:ascii="宋体" w:hAnsi="宋体" w:eastAsia="宋体" w:cs="宋体"/>
          <w:i w:val="0"/>
          <w:iCs w:val="0"/>
          <w:caps w:val="0"/>
          <w:color w:val="auto"/>
          <w:spacing w:val="0"/>
          <w:kern w:val="0"/>
          <w:sz w:val="32"/>
          <w:szCs w:val="32"/>
          <w:u w:val="none"/>
          <w:shd w:val="clear" w:fill="FFFFFF"/>
          <w:lang w:val="en-US" w:eastAsia="zh-CN" w:bidi="ar"/>
        </w:rPr>
        <w:t>2</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w:t>
      </w:r>
      <w:r>
        <w:rPr>
          <w:rFonts w:hint="eastAsia" w:ascii="宋体" w:hAnsi="宋体" w:eastAsia="宋体" w:cs="宋体"/>
          <w:i w:val="0"/>
          <w:iCs w:val="0"/>
          <w:caps w:val="0"/>
          <w:color w:val="auto"/>
          <w:spacing w:val="0"/>
          <w:kern w:val="0"/>
          <w:sz w:val="32"/>
          <w:szCs w:val="32"/>
          <w:u w:val="none"/>
          <w:shd w:val="clear" w:fill="FFFFFF"/>
          <w:lang w:val="en-US" w:eastAsia="zh-CN" w:bidi="ar"/>
        </w:rPr>
        <w:t>3</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学分。</w:t>
      </w: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第六条</w:t>
      </w:r>
      <w:r>
        <w:rPr>
          <w:rFonts w:hint="eastAsia"/>
          <w:lang w:val="en-US" w:eastAsia="zh-CN"/>
        </w:rPr>
        <w:t xml:space="preserve"> 微专业课程实施实践教学全覆盖，每一门课程都需安排实践教学活动。</w:t>
      </w:r>
      <w:r>
        <w:rPr>
          <w:rFonts w:hint="eastAsia" w:ascii="仿宋_GB2312" w:hAnsi="仿宋_GB2312" w:cs="仿宋_GB2312"/>
          <w:i w:val="0"/>
          <w:iCs w:val="0"/>
          <w:caps w:val="0"/>
          <w:color w:val="auto"/>
          <w:spacing w:val="0"/>
          <w:kern w:val="0"/>
          <w:sz w:val="32"/>
          <w:szCs w:val="32"/>
          <w:u w:val="none"/>
          <w:shd w:val="clear" w:fill="FFFFFF"/>
          <w:lang w:val="en-US" w:eastAsia="zh-CN" w:bidi="ar"/>
        </w:rPr>
        <w:t>案例实践、企业实践、学科竞赛等实践学时原则上不低于微专业总学时的</w:t>
      </w:r>
      <w:r>
        <w:rPr>
          <w:rFonts w:hint="eastAsia" w:ascii="宋体" w:hAnsi="宋体" w:eastAsia="宋体" w:cs="宋体"/>
          <w:i w:val="0"/>
          <w:iCs w:val="0"/>
          <w:caps w:val="0"/>
          <w:color w:val="auto"/>
          <w:spacing w:val="0"/>
          <w:kern w:val="0"/>
          <w:sz w:val="32"/>
          <w:szCs w:val="32"/>
          <w:u w:val="none"/>
          <w:shd w:val="clear" w:fill="FFFFFF"/>
          <w:lang w:val="en-US" w:eastAsia="zh-CN" w:bidi="ar"/>
        </w:rPr>
        <w:t>50</w:t>
      </w:r>
      <w:r>
        <w:rPr>
          <w:rFonts w:hint="eastAsia" w:ascii="仿宋_GB2312" w:hAnsi="仿宋_GB2312" w:cs="仿宋_GB2312"/>
          <w:i w:val="0"/>
          <w:iCs w:val="0"/>
          <w:caps w:val="0"/>
          <w:color w:val="auto"/>
          <w:spacing w:val="0"/>
          <w:kern w:val="0"/>
          <w:sz w:val="32"/>
          <w:szCs w:val="32"/>
          <w:u w:val="none"/>
          <w:shd w:val="clear" w:fill="FFFFFF"/>
          <w:lang w:val="en-US" w:eastAsia="zh-CN" w:bidi="ar"/>
        </w:rPr>
        <w:t>%。</w:t>
      </w: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第七条</w:t>
      </w:r>
      <w:r>
        <w:rPr>
          <w:rFonts w:hint="eastAsia"/>
          <w:u w:val="none"/>
          <w:lang w:val="en-US" w:eastAsia="zh-CN"/>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微专业开设学院自主确定招收对象和学生遴选办法，并报教务处审定后面向学生公布。学生自愿报名，微专业负责宣传、选拔等，原则上</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Hans" w:bidi="ar"/>
        </w:rPr>
        <w:t>实际录取人数达</w:t>
      </w:r>
      <w:r>
        <w:rPr>
          <w:rFonts w:hint="eastAsia" w:ascii="宋体" w:hAnsi="宋体" w:eastAsia="宋体" w:cs="宋体"/>
          <w:i w:val="0"/>
          <w:iCs w:val="0"/>
          <w:caps w:val="0"/>
          <w:color w:val="auto"/>
          <w:spacing w:val="0"/>
          <w:kern w:val="0"/>
          <w:sz w:val="32"/>
          <w:szCs w:val="32"/>
          <w:u w:val="none"/>
          <w:shd w:val="clear" w:fill="FFFFFF"/>
          <w:lang w:eastAsia="zh-Hans" w:bidi="ar"/>
        </w:rPr>
        <w:t>30</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Hans" w:bidi="ar"/>
        </w:rPr>
        <w:t>人</w:t>
      </w:r>
      <w:r>
        <w:rPr>
          <w:rFonts w:hint="default" w:ascii="仿宋_GB2312" w:hAnsi="仿宋_GB2312" w:eastAsia="仿宋_GB2312" w:cs="仿宋_GB2312"/>
          <w:i w:val="0"/>
          <w:iCs w:val="0"/>
          <w:caps w:val="0"/>
          <w:color w:val="auto"/>
          <w:spacing w:val="0"/>
          <w:kern w:val="0"/>
          <w:sz w:val="32"/>
          <w:szCs w:val="32"/>
          <w:u w:val="none"/>
          <w:shd w:val="clear" w:fill="FFFFFF"/>
          <w:lang w:eastAsia="zh-Hans" w:bidi="ar"/>
        </w:rPr>
        <w:t>（</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Hans" w:bidi="ar"/>
        </w:rPr>
        <w:t>艺术类</w:t>
      </w:r>
      <w:r>
        <w:rPr>
          <w:rFonts w:hint="default" w:ascii="仿宋_GB2312" w:hAnsi="仿宋_GB2312" w:eastAsia="仿宋_GB2312" w:cs="仿宋_GB2312"/>
          <w:i w:val="0"/>
          <w:iCs w:val="0"/>
          <w:caps w:val="0"/>
          <w:color w:val="auto"/>
          <w:spacing w:val="0"/>
          <w:kern w:val="0"/>
          <w:sz w:val="32"/>
          <w:szCs w:val="32"/>
          <w:u w:val="none"/>
          <w:shd w:val="clear" w:fill="FFFFFF"/>
          <w:lang w:eastAsia="zh-Hans" w:bidi="ar"/>
        </w:rPr>
        <w:t>、</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Hans" w:bidi="ar"/>
        </w:rPr>
        <w:t>体育类</w:t>
      </w:r>
      <w:r>
        <w:rPr>
          <w:rFonts w:hint="default" w:ascii="仿宋_GB2312" w:hAnsi="仿宋_GB2312" w:eastAsia="仿宋_GB2312" w:cs="仿宋_GB2312"/>
          <w:i w:val="0"/>
          <w:iCs w:val="0"/>
          <w:caps w:val="0"/>
          <w:color w:val="auto"/>
          <w:spacing w:val="0"/>
          <w:kern w:val="0"/>
          <w:sz w:val="32"/>
          <w:szCs w:val="32"/>
          <w:u w:val="none"/>
          <w:shd w:val="clear" w:fill="FFFFFF"/>
          <w:lang w:eastAsia="zh-Hans" w:bidi="ar"/>
        </w:rPr>
        <w:t>、</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Hans" w:bidi="ar"/>
        </w:rPr>
        <w:t>外语类</w:t>
      </w:r>
      <w:r>
        <w:rPr>
          <w:rFonts w:hint="eastAsia" w:ascii="宋体" w:hAnsi="宋体" w:eastAsia="宋体" w:cs="宋体"/>
          <w:i w:val="0"/>
          <w:iCs w:val="0"/>
          <w:caps w:val="0"/>
          <w:color w:val="auto"/>
          <w:spacing w:val="0"/>
          <w:kern w:val="0"/>
          <w:sz w:val="32"/>
          <w:szCs w:val="32"/>
          <w:u w:val="none"/>
          <w:shd w:val="clear" w:fill="FFFFFF"/>
          <w:lang w:val="en-US" w:eastAsia="zh-CN" w:bidi="ar"/>
        </w:rPr>
        <w:t>20</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Hans" w:bidi="ar"/>
        </w:rPr>
        <w:t>人</w:t>
      </w:r>
      <w:r>
        <w:rPr>
          <w:rFonts w:hint="default" w:ascii="仿宋_GB2312" w:hAnsi="仿宋_GB2312" w:eastAsia="仿宋_GB2312" w:cs="仿宋_GB2312"/>
          <w:i w:val="0"/>
          <w:iCs w:val="0"/>
          <w:caps w:val="0"/>
          <w:color w:val="auto"/>
          <w:spacing w:val="0"/>
          <w:kern w:val="0"/>
          <w:sz w:val="32"/>
          <w:szCs w:val="32"/>
          <w:u w:val="none"/>
          <w:shd w:val="clear" w:fill="FFFFFF"/>
          <w:lang w:eastAsia="zh-Hans" w:bidi="ar"/>
        </w:rPr>
        <w:t>）</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Hans" w:bidi="ar"/>
        </w:rPr>
        <w:t>及</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以上方可开班。</w:t>
      </w: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eastAsia"/>
          <w:highlight w:val="none"/>
          <w:lang w:val="en-US" w:eastAsia="zh-CN"/>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第八条</w:t>
      </w:r>
      <w:r>
        <w:rPr>
          <w:rFonts w:hint="eastAsia"/>
          <w:highlight w:val="none"/>
          <w:lang w:val="en-US" w:eastAsia="zh-CN"/>
        </w:rPr>
        <w:t xml:space="preserve"> 微专业一般单独编班授课，安排在晚上或周末授课。微专业采取灵活的教学方式，鼓励采用线上线下混合式教学模式进行教学。</w:t>
      </w: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eastAsia"/>
          <w:lang w:val="en-US" w:eastAsia="zh-CN"/>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第九条</w:t>
      </w:r>
      <w:r>
        <w:rPr>
          <w:rFonts w:hint="eastAsia"/>
          <w:lang w:val="en-US" w:eastAsia="zh-CN"/>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学生应是主修年限内学有余力的在籍本科生，主修专业课程无补考或重修。学生应在第二学期至第六学期提出修读报名申请，学生不得同时修习</w:t>
      </w:r>
      <w:r>
        <w:rPr>
          <w:rFonts w:hint="eastAsia" w:ascii="宋体" w:hAnsi="宋体" w:eastAsia="宋体" w:cs="宋体"/>
          <w:i w:val="0"/>
          <w:iCs w:val="0"/>
          <w:caps w:val="0"/>
          <w:color w:val="auto"/>
          <w:spacing w:val="0"/>
          <w:kern w:val="0"/>
          <w:sz w:val="32"/>
          <w:szCs w:val="32"/>
          <w:u w:val="none"/>
          <w:shd w:val="clear" w:fill="FFFFFF"/>
          <w:lang w:val="en-US" w:eastAsia="zh-CN" w:bidi="ar"/>
        </w:rPr>
        <w:t>2</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个微专业。</w:t>
      </w: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eastAsia"/>
          <w:lang w:val="en-US" w:eastAsia="zh-CN"/>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第十条</w:t>
      </w:r>
      <w:r>
        <w:rPr>
          <w:rFonts w:hint="eastAsia"/>
          <w:lang w:val="en-US" w:eastAsia="zh-CN"/>
        </w:rPr>
        <w:t xml:space="preserve"> 微专业课程考核不合格的学生，可以参加补考，补考不及格可申请重修。微专业课程不纳入主修平均学分绩点计算，不影响评奖评优和主修专业的毕业资格。</w:t>
      </w: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eastAsia"/>
          <w:lang w:val="en-US" w:eastAsia="zh-CN"/>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第十一条</w:t>
      </w:r>
      <w:r>
        <w:rPr>
          <w:rFonts w:hint="eastAsia"/>
          <w:lang w:val="en-US" w:eastAsia="zh-CN"/>
        </w:rPr>
        <w:t xml:space="preserve"> 教学管理由开设学院和教务处共同负责。教务处主要负责微专业设置整体规划、人才培养方案审定、教学质量监控、学分认定与证书发放等。开设学院主要负责微专业设置论证、编制人才培养方案及课程教学大纲、组建教学团队、落实教学任务、课程考试、成绩统计录入和档案管理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0" w:firstLineChars="0"/>
        <w:jc w:val="both"/>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0" w:firstLineChars="0"/>
        <w:jc w:val="center"/>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r>
        <w:rPr>
          <w:rFonts w:hint="eastAsia" w:ascii="黑体" w:hAnsi="黑体" w:eastAsia="黑体" w:cs="黑体"/>
          <w:i w:val="0"/>
          <w:iCs w:val="0"/>
          <w:caps w:val="0"/>
          <w:color w:val="auto"/>
          <w:spacing w:val="0"/>
          <w:kern w:val="0"/>
          <w:sz w:val="32"/>
          <w:szCs w:val="32"/>
          <w:u w:val="none"/>
          <w:shd w:val="clear" w:fill="FFFFFF"/>
          <w:lang w:val="en-US" w:eastAsia="zh-CN" w:bidi="ar"/>
        </w:rPr>
        <w:t>第三章 结业要求和证书发放</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pPr>
    </w:p>
    <w:p>
      <w:pPr>
        <w:keepNext w:val="0"/>
        <w:keepLines w:val="0"/>
        <w:pageBreakBefore w:val="0"/>
        <w:widowControl/>
        <w:kinsoku/>
        <w:wordWrap/>
        <w:overflowPunct/>
        <w:topLinePunct w:val="0"/>
        <w:autoSpaceDE/>
        <w:autoSpaceDN/>
        <w:bidi w:val="0"/>
        <w:adjustRightInd/>
        <w:snapToGrid/>
        <w:spacing w:line="540" w:lineRule="exact"/>
        <w:jc w:val="both"/>
        <w:textAlignment w:val="auto"/>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第十二条</w:t>
      </w:r>
      <w:r>
        <w:rPr>
          <w:rFonts w:hint="eastAsia"/>
          <w:lang w:val="en-US" w:eastAsia="zh-CN"/>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学生按照微专业</w:t>
      </w:r>
      <w:r>
        <w:rPr>
          <w:rFonts w:hint="eastAsia" w:ascii="仿宋_GB2312" w:hAnsi="仿宋_GB2312" w:cs="仿宋_GB2312"/>
          <w:i w:val="0"/>
          <w:iCs w:val="0"/>
          <w:caps w:val="0"/>
          <w:color w:val="auto"/>
          <w:spacing w:val="0"/>
          <w:kern w:val="0"/>
          <w:sz w:val="32"/>
          <w:szCs w:val="32"/>
          <w:u w:val="none"/>
          <w:shd w:val="clear" w:fill="FFFFFF"/>
          <w:lang w:val="en-US" w:eastAsia="zh-CN" w:bidi="ar"/>
        </w:rPr>
        <w:t>培养方案</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，修读完成所有课程，经学院审核后</w:t>
      </w:r>
      <w:r>
        <w:rPr>
          <w:rFonts w:hint="eastAsia" w:ascii="仿宋_GB2312" w:hAnsi="仿宋_GB2312" w:cs="仿宋_GB2312"/>
          <w:i w:val="0"/>
          <w:iCs w:val="0"/>
          <w:caps w:val="0"/>
          <w:color w:val="auto"/>
          <w:spacing w:val="0"/>
          <w:kern w:val="0"/>
          <w:sz w:val="32"/>
          <w:szCs w:val="32"/>
          <w:u w:val="none"/>
          <w:shd w:val="clear" w:fill="FFFFFF"/>
          <w:lang w:val="en-US" w:eastAsia="zh-CN" w:bidi="ar"/>
        </w:rPr>
        <w:t>，</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报教务处审定，发放学校制作的微专业成绩单和证书</w:t>
      </w:r>
      <w:r>
        <w:rPr>
          <w:rFonts w:hint="eastAsia" w:ascii="仿宋_GB2312" w:hAnsi="仿宋_GB2312" w:cs="仿宋_GB2312"/>
          <w:i w:val="0"/>
          <w:iCs w:val="0"/>
          <w:caps w:val="0"/>
          <w:color w:val="auto"/>
          <w:spacing w:val="0"/>
          <w:kern w:val="0"/>
          <w:sz w:val="32"/>
          <w:szCs w:val="32"/>
          <w:u w:val="none"/>
          <w:shd w:val="clear" w:fill="FFFFFF"/>
          <w:lang w:val="en-US" w:eastAsia="zh-CN" w:bidi="ar"/>
        </w:rPr>
        <w:t>。</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 xml:space="preserve">微专业证书为非学历证书。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firstLineChars="200"/>
        <w:jc w:val="both"/>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第十三条</w:t>
      </w:r>
      <w:r>
        <w:rPr>
          <w:rFonts w:hint="eastAsia"/>
          <w:lang w:val="en-US" w:eastAsia="zh-CN"/>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因学业情况变化等，学生可向</w:t>
      </w:r>
      <w:r>
        <w:rPr>
          <w:rFonts w:hint="default" w:ascii="仿宋_GB2312" w:hAnsi="仿宋_GB2312" w:eastAsia="仿宋_GB2312" w:cs="仿宋_GB2312"/>
          <w:i w:val="0"/>
          <w:iCs w:val="0"/>
          <w:caps w:val="0"/>
          <w:color w:val="auto"/>
          <w:spacing w:val="0"/>
          <w:kern w:val="0"/>
          <w:sz w:val="32"/>
          <w:szCs w:val="32"/>
          <w:u w:val="none"/>
          <w:shd w:val="clear" w:fill="FFFFFF"/>
          <w:lang w:eastAsia="zh-CN" w:bidi="ar"/>
        </w:rPr>
        <w:t>开设学院</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提出退出申请，经</w:t>
      </w:r>
      <w:r>
        <w:rPr>
          <w:rFonts w:hint="default" w:ascii="仿宋_GB2312" w:hAnsi="仿宋_GB2312" w:eastAsia="仿宋_GB2312" w:cs="仿宋_GB2312"/>
          <w:i w:val="0"/>
          <w:iCs w:val="0"/>
          <w:caps w:val="0"/>
          <w:color w:val="auto"/>
          <w:spacing w:val="0"/>
          <w:kern w:val="0"/>
          <w:sz w:val="32"/>
          <w:szCs w:val="32"/>
          <w:u w:val="none"/>
          <w:shd w:val="clear" w:fill="FFFFFF"/>
          <w:lang w:eastAsia="zh-CN" w:bidi="ar"/>
        </w:rPr>
        <w:t>开设学院</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审核同意后正式退出微专业。</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Hans" w:bidi="ar"/>
        </w:rPr>
        <w:t>开设学院应及时将退修微专业的学生名单报送至教务处备案</w:t>
      </w:r>
      <w:r>
        <w:rPr>
          <w:rFonts w:hint="default" w:ascii="仿宋_GB2312" w:hAnsi="仿宋_GB2312" w:eastAsia="仿宋_GB2312" w:cs="仿宋_GB2312"/>
          <w:i w:val="0"/>
          <w:iCs w:val="0"/>
          <w:caps w:val="0"/>
          <w:color w:val="auto"/>
          <w:spacing w:val="0"/>
          <w:kern w:val="0"/>
          <w:sz w:val="32"/>
          <w:szCs w:val="32"/>
          <w:u w:val="none"/>
          <w:shd w:val="clear" w:fill="FFFFFF"/>
          <w:lang w:eastAsia="zh-Hans" w:bidi="ar"/>
        </w:rPr>
        <w:t>。</w:t>
      </w:r>
      <w:r>
        <w:rPr>
          <w:rFonts w:hint="eastAsia" w:ascii="仿宋_GB2312" w:hAnsi="仿宋_GB2312" w:cs="仿宋_GB2312"/>
          <w:i w:val="0"/>
          <w:iCs w:val="0"/>
          <w:caps w:val="0"/>
          <w:color w:val="auto"/>
          <w:spacing w:val="0"/>
          <w:kern w:val="0"/>
          <w:sz w:val="32"/>
          <w:szCs w:val="32"/>
          <w:u w:val="none"/>
          <w:shd w:val="clear" w:fill="FFFFFF"/>
          <w:lang w:eastAsia="zh-CN" w:bidi="ar"/>
        </w:rPr>
        <w:t>学生在主修专业修读结束时，微专业学籍自动终止。</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right="0" w:firstLine="643" w:firstLineChars="200"/>
        <w:jc w:val="both"/>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第十四条</w:t>
      </w:r>
      <w:r>
        <w:rPr>
          <w:rFonts w:hint="eastAsia"/>
          <w:lang w:val="en-US" w:eastAsia="zh-CN"/>
        </w:rPr>
        <w:t xml:space="preserve"> </w:t>
      </w:r>
      <w:r>
        <w:rPr>
          <w:rFonts w:hint="eastAsia" w:ascii="仿宋_GB2312" w:hAnsi="仿宋_GB2312" w:cs="仿宋_GB2312"/>
          <w:i w:val="0"/>
          <w:iCs w:val="0"/>
          <w:caps w:val="0"/>
          <w:color w:val="auto"/>
          <w:spacing w:val="0"/>
          <w:kern w:val="0"/>
          <w:sz w:val="32"/>
          <w:szCs w:val="32"/>
          <w:u w:val="none"/>
          <w:shd w:val="clear" w:fill="FFFFFF"/>
          <w:lang w:val="en-US" w:eastAsia="zh-CN" w:bidi="ar"/>
        </w:rPr>
        <w:t>所有修读取得的微专业学分可以申请认定为通识教育选修课非限选模块学分。微专业课程学习完毕后统一申请认定，参照课程修读认定程序。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0" w:firstLineChars="0"/>
        <w:jc w:val="both"/>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left="0" w:leftChars="0" w:right="0" w:firstLine="0" w:firstLineChars="0"/>
        <w:jc w:val="center"/>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r>
        <w:rPr>
          <w:rFonts w:hint="eastAsia" w:ascii="黑体" w:hAnsi="黑体" w:eastAsia="黑体" w:cs="黑体"/>
          <w:i w:val="0"/>
          <w:iCs w:val="0"/>
          <w:caps w:val="0"/>
          <w:color w:val="auto"/>
          <w:spacing w:val="0"/>
          <w:kern w:val="0"/>
          <w:sz w:val="32"/>
          <w:szCs w:val="32"/>
          <w:u w:val="none"/>
          <w:shd w:val="clear" w:fill="FFFFFF"/>
          <w:lang w:val="en-US" w:eastAsia="zh-CN" w:bidi="ar"/>
        </w:rPr>
        <w:t>第四章 收费管理</w:t>
      </w:r>
    </w:p>
    <w:p>
      <w:pPr>
        <w:pStyle w:val="2"/>
        <w:keepNext w:val="0"/>
        <w:keepLines w:val="0"/>
        <w:pageBreakBefore w:val="0"/>
        <w:widowControl/>
        <w:kinsoku/>
        <w:wordWrap/>
        <w:overflowPunct/>
        <w:topLinePunct w:val="0"/>
        <w:autoSpaceDE/>
        <w:autoSpaceDN/>
        <w:bidi w:val="0"/>
        <w:adjustRightInd/>
        <w:snapToGrid/>
        <w:spacing w:after="0" w:afterLines="0" w:line="540" w:lineRule="exact"/>
        <w:ind w:left="0" w:leftChars="0" w:firstLine="640" w:firstLineChars="0"/>
        <w:jc w:val="both"/>
        <w:textAlignment w:val="auto"/>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pPr>
    </w:p>
    <w:p>
      <w:pPr>
        <w:pStyle w:val="2"/>
        <w:keepNext w:val="0"/>
        <w:keepLines w:val="0"/>
        <w:pageBreakBefore w:val="0"/>
        <w:widowControl/>
        <w:kinsoku/>
        <w:wordWrap/>
        <w:overflowPunct/>
        <w:topLinePunct w:val="0"/>
        <w:autoSpaceDE/>
        <w:autoSpaceDN/>
        <w:bidi w:val="0"/>
        <w:adjustRightInd/>
        <w:snapToGrid/>
        <w:spacing w:after="0" w:afterLines="0" w:line="540" w:lineRule="exact"/>
        <w:ind w:left="0" w:leftChars="0" w:firstLine="640" w:firstLineChars="0"/>
        <w:jc w:val="both"/>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第十五条</w:t>
      </w:r>
      <w:r>
        <w:rPr>
          <w:rFonts w:hint="eastAsia"/>
          <w:lang w:val="en-US" w:eastAsia="zh-CN"/>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微专业参照辅修专业收费标准（文管类每学分</w:t>
      </w:r>
      <w:r>
        <w:rPr>
          <w:rFonts w:hint="eastAsia" w:ascii="宋体" w:hAnsi="宋体" w:eastAsia="宋体" w:cs="宋体"/>
          <w:i w:val="0"/>
          <w:iCs w:val="0"/>
          <w:caps w:val="0"/>
          <w:color w:val="auto"/>
          <w:spacing w:val="0"/>
          <w:kern w:val="0"/>
          <w:sz w:val="32"/>
          <w:szCs w:val="32"/>
          <w:u w:val="none"/>
          <w:shd w:val="clear" w:fill="FFFFFF"/>
          <w:lang w:val="en-US" w:eastAsia="zh-CN" w:bidi="ar"/>
        </w:rPr>
        <w:t>100</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元，理工类每学分</w:t>
      </w:r>
      <w:r>
        <w:rPr>
          <w:rFonts w:hint="eastAsia" w:ascii="宋体" w:hAnsi="宋体" w:eastAsia="宋体" w:cs="宋体"/>
          <w:i w:val="0"/>
          <w:iCs w:val="0"/>
          <w:caps w:val="0"/>
          <w:color w:val="auto"/>
          <w:spacing w:val="0"/>
          <w:kern w:val="0"/>
          <w:sz w:val="32"/>
          <w:szCs w:val="32"/>
          <w:u w:val="none"/>
          <w:shd w:val="clear" w:fill="FFFFFF"/>
          <w:lang w:val="en-US" w:eastAsia="zh-CN" w:bidi="ar"/>
        </w:rPr>
        <w:t>110</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元，艺术类每学分</w:t>
      </w:r>
      <w:r>
        <w:rPr>
          <w:rFonts w:hint="eastAsia" w:ascii="宋体" w:hAnsi="宋体" w:eastAsia="宋体" w:cs="宋体"/>
          <w:i w:val="0"/>
          <w:iCs w:val="0"/>
          <w:caps w:val="0"/>
          <w:color w:val="auto"/>
          <w:spacing w:val="0"/>
          <w:kern w:val="0"/>
          <w:sz w:val="32"/>
          <w:szCs w:val="32"/>
          <w:u w:val="none"/>
          <w:shd w:val="clear" w:fill="FFFFFF"/>
          <w:lang w:val="en-US" w:eastAsia="zh-CN" w:bidi="ar"/>
        </w:rPr>
        <w:t>150</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元），由开设学院协同财务处进行收费。</w:t>
      </w:r>
    </w:p>
    <w:p>
      <w:pPr>
        <w:pStyle w:val="2"/>
        <w:keepNext w:val="0"/>
        <w:keepLines w:val="0"/>
        <w:pageBreakBefore w:val="0"/>
        <w:widowControl/>
        <w:kinsoku/>
        <w:wordWrap/>
        <w:overflowPunct/>
        <w:topLinePunct w:val="0"/>
        <w:autoSpaceDE/>
        <w:autoSpaceDN/>
        <w:bidi w:val="0"/>
        <w:adjustRightInd/>
        <w:snapToGrid/>
        <w:spacing w:after="0" w:afterLines="0" w:line="540" w:lineRule="exact"/>
        <w:ind w:left="0" w:leftChars="0" w:firstLine="640" w:firstLineChars="0"/>
        <w:jc w:val="both"/>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第十六条</w:t>
      </w:r>
      <w:r>
        <w:rPr>
          <w:rFonts w:hint="eastAsia"/>
          <w:lang w:val="en-US" w:eastAsia="zh-CN"/>
        </w:rPr>
        <w:t xml:space="preserve"> </w:t>
      </w:r>
      <w:r>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t>微专业学费的</w:t>
      </w:r>
      <w:r>
        <w:rPr>
          <w:rFonts w:hint="eastAsia" w:ascii="宋体" w:hAnsi="宋体" w:eastAsia="宋体" w:cs="宋体"/>
          <w:i w:val="0"/>
          <w:iCs w:val="0"/>
          <w:caps w:val="0"/>
          <w:color w:val="auto"/>
          <w:spacing w:val="0"/>
          <w:kern w:val="0"/>
          <w:sz w:val="32"/>
          <w:szCs w:val="32"/>
          <w:u w:val="none"/>
          <w:shd w:val="clear" w:fill="FFFFFF"/>
          <w:lang w:val="en-US" w:eastAsia="zh-CN" w:bidi="ar"/>
        </w:rPr>
        <w:t>60</w:t>
      </w:r>
      <w:r>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t>％由</w:t>
      </w:r>
      <w:r>
        <w:rPr>
          <w:rFonts w:hint="eastAsia" w:ascii="仿宋_GB2312" w:hAnsi="仿宋_GB2312" w:cs="仿宋_GB2312"/>
          <w:i w:val="0"/>
          <w:iCs w:val="0"/>
          <w:caps w:val="0"/>
          <w:color w:val="auto"/>
          <w:spacing w:val="0"/>
          <w:kern w:val="0"/>
          <w:sz w:val="32"/>
          <w:szCs w:val="32"/>
          <w:u w:val="none"/>
          <w:shd w:val="clear" w:fill="FFFFFF"/>
          <w:lang w:val="en-US" w:eastAsia="zh-CN" w:bidi="ar"/>
        </w:rPr>
        <w:t>开设</w:t>
      </w:r>
      <w:r>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t>学院支配，用于教学管理、业界教师课时酬金、实践性环节等方面的支出；</w:t>
      </w:r>
      <w:r>
        <w:rPr>
          <w:rFonts w:hint="eastAsia" w:ascii="宋体" w:hAnsi="宋体" w:eastAsia="宋体" w:cs="宋体"/>
          <w:i w:val="0"/>
          <w:iCs w:val="0"/>
          <w:caps w:val="0"/>
          <w:color w:val="auto"/>
          <w:spacing w:val="0"/>
          <w:kern w:val="0"/>
          <w:sz w:val="32"/>
          <w:szCs w:val="32"/>
          <w:u w:val="none"/>
          <w:shd w:val="clear" w:fill="FFFFFF"/>
          <w:lang w:val="en-US" w:eastAsia="zh-CN" w:bidi="ar"/>
        </w:rPr>
        <w:t>40</w:t>
      </w:r>
      <w:r>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t>％留学校用于专业和课程建设。</w:t>
      </w:r>
    </w:p>
    <w:p>
      <w:pPr>
        <w:pStyle w:val="2"/>
        <w:keepNext w:val="0"/>
        <w:keepLines w:val="0"/>
        <w:pageBreakBefore w:val="0"/>
        <w:widowControl/>
        <w:kinsoku/>
        <w:wordWrap/>
        <w:overflowPunct/>
        <w:topLinePunct w:val="0"/>
        <w:autoSpaceDE/>
        <w:autoSpaceDN/>
        <w:bidi w:val="0"/>
        <w:adjustRightInd/>
        <w:snapToGrid/>
        <w:spacing w:after="0" w:afterLines="0" w:line="540" w:lineRule="exact"/>
        <w:ind w:left="0" w:leftChars="0" w:firstLine="643" w:firstLineChars="200"/>
        <w:jc w:val="both"/>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第十七条</w:t>
      </w:r>
      <w:r>
        <w:rPr>
          <w:rFonts w:hint="eastAsia"/>
          <w:lang w:val="en-US" w:eastAsia="zh-CN"/>
        </w:rPr>
        <w:t xml:space="preserve">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学生每学期须在学校规定的时间内报到注册，缴纳学费及重修费。逾期不缴费者，将取消课程修读资格。</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0" w:firstLineChars="0"/>
        <w:jc w:val="both"/>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黑体" w:hAnsi="黑体" w:eastAsia="黑体" w:cs="黑体"/>
          <w:i w:val="0"/>
          <w:iCs w:val="0"/>
          <w:caps w:val="0"/>
          <w:color w:val="auto"/>
          <w:spacing w:val="0"/>
          <w:kern w:val="0"/>
          <w:sz w:val="32"/>
          <w:szCs w:val="32"/>
          <w:u w:val="none"/>
          <w:shd w:val="clear" w:fill="FFFFFF"/>
          <w:lang w:val="en-US" w:eastAsia="zh-CN" w:bidi="ar"/>
        </w:rPr>
        <w:t>第五章 附则</w:t>
      </w: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pPr>
    </w:p>
    <w:p>
      <w:pPr>
        <w:pStyle w:val="2"/>
        <w:keepNext w:val="0"/>
        <w:keepLines w:val="0"/>
        <w:pageBreakBefore w:val="0"/>
        <w:widowControl/>
        <w:kinsoku/>
        <w:wordWrap/>
        <w:overflowPunct/>
        <w:topLinePunct w:val="0"/>
        <w:autoSpaceDE/>
        <w:autoSpaceDN/>
        <w:bidi w:val="0"/>
        <w:adjustRightInd/>
        <w:snapToGrid/>
        <w:spacing w:after="0" w:afterLines="0" w:line="540" w:lineRule="exact"/>
        <w:jc w:val="both"/>
        <w:textAlignment w:val="auto"/>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第十八条</w:t>
      </w:r>
      <w:r>
        <w:rPr>
          <w:rFonts w:hint="eastAsia" w:ascii="楷体_GB2312" w:hAnsi="楷体_GB2312" w:eastAsia="楷体_GB2312" w:cs="楷体_GB2312"/>
          <w:lang w:val="en-US" w:eastAsia="zh-CN"/>
        </w:rPr>
        <w:t xml:space="preserve"> </w:t>
      </w:r>
      <w:r>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t>参与微专业建设和教学的人员，由教师所在学院认定教学工作量。对微专业负责人及教学团队在各类教学项目申报中予以优先支</w:t>
      </w:r>
      <w:r>
        <w:rPr>
          <w:rFonts w:hint="default"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持。</w:t>
      </w:r>
      <w:r>
        <w:rPr>
          <w:rFonts w:hint="eastAsia" w:ascii="仿宋_GB2312" w:hAnsi="仿宋_GB2312" w:cs="仿宋_GB2312"/>
          <w:b w:val="0"/>
          <w:bCs w:val="0"/>
          <w:i w:val="0"/>
          <w:iCs w:val="0"/>
          <w:caps w:val="0"/>
          <w:color w:val="auto"/>
          <w:spacing w:val="0"/>
          <w:kern w:val="0"/>
          <w:sz w:val="32"/>
          <w:szCs w:val="32"/>
          <w:u w:val="none"/>
          <w:shd w:val="clear" w:fill="FFFFFF"/>
          <w:lang w:val="en-US" w:eastAsia="zh-CN" w:bidi="ar"/>
        </w:rPr>
        <w:t>学校组织</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评选优秀微专业、优秀微专业</w:t>
      </w:r>
      <w:r>
        <w:rPr>
          <w:rFonts w:hint="eastAsia" w:ascii="仿宋_GB2312" w:hAnsi="仿宋_GB2312" w:cs="仿宋_GB2312"/>
          <w:b w:val="0"/>
          <w:bCs w:val="0"/>
          <w:i w:val="0"/>
          <w:iCs w:val="0"/>
          <w:caps w:val="0"/>
          <w:color w:val="auto"/>
          <w:spacing w:val="0"/>
          <w:kern w:val="0"/>
          <w:sz w:val="32"/>
          <w:szCs w:val="32"/>
          <w:u w:val="none"/>
          <w:shd w:val="clear" w:fill="FFFFFF"/>
          <w:lang w:val="en-US" w:eastAsia="zh-CN" w:bidi="ar"/>
        </w:rPr>
        <w:t>学员</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，并予以</w:t>
      </w:r>
      <w:r>
        <w:rPr>
          <w:rFonts w:hint="eastAsia" w:ascii="仿宋_GB2312" w:hAnsi="仿宋_GB2312" w:cs="仿宋_GB2312"/>
          <w:b w:val="0"/>
          <w:bCs w:val="0"/>
          <w:i w:val="0"/>
          <w:iCs w:val="0"/>
          <w:caps w:val="0"/>
          <w:color w:val="auto"/>
          <w:spacing w:val="0"/>
          <w:kern w:val="0"/>
          <w:sz w:val="32"/>
          <w:szCs w:val="32"/>
          <w:u w:val="none"/>
          <w:shd w:val="clear" w:fill="FFFFFF"/>
          <w:lang w:val="en-US" w:eastAsia="zh-CN" w:bidi="ar"/>
        </w:rPr>
        <w:t>表彰。</w:t>
      </w:r>
      <w:r>
        <w:rPr>
          <w:rFonts w:hint="default"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获批立项并正式开课</w:t>
      </w:r>
      <w:r>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t>的微专业教学建设工作积分将参照《三明学院绩效工资实施办法》有关规定计算。</w:t>
      </w:r>
    </w:p>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第十九条</w:t>
      </w:r>
      <w:r>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t xml:space="preserve"> </w:t>
      </w:r>
      <w:r>
        <w:rPr>
          <w:rFonts w:hint="eastAsia"/>
          <w:lang w:val="en-US" w:eastAsia="zh-CN"/>
        </w:rPr>
        <w:t>微专业除遵照本办法执行外，还应遵循学校本科教学工作相关管理规定。</w:t>
      </w:r>
    </w:p>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default" w:ascii="楷体_GB2312" w:hAnsi="楷体_GB2312" w:eastAsia="楷体_GB2312" w:cs="楷体_GB2312"/>
          <w:b/>
          <w:bCs/>
          <w:i w:val="0"/>
          <w:iCs w:val="0"/>
          <w:caps w:val="0"/>
          <w:color w:val="auto"/>
          <w:spacing w:val="0"/>
          <w:kern w:val="0"/>
          <w:sz w:val="32"/>
          <w:szCs w:val="32"/>
          <w:u w:val="none"/>
          <w:shd w:val="clear" w:fill="FFFFFF"/>
          <w:lang w:val="en-US" w:eastAsia="zh-CN" w:bidi="ar"/>
        </w:rPr>
        <w:t>第</w:t>
      </w:r>
      <w:r>
        <w:rPr>
          <w:rFonts w:hint="eastAsia" w:ascii="楷体_GB2312" w:hAnsi="楷体_GB2312" w:eastAsia="楷体_GB2312" w:cs="楷体_GB2312"/>
          <w:b/>
          <w:bCs/>
          <w:i w:val="0"/>
          <w:iCs w:val="0"/>
          <w:caps w:val="0"/>
          <w:color w:val="auto"/>
          <w:spacing w:val="0"/>
          <w:kern w:val="0"/>
          <w:sz w:val="32"/>
          <w:szCs w:val="32"/>
          <w:u w:val="none"/>
          <w:shd w:val="clear" w:fill="FFFFFF"/>
          <w:lang w:val="en-US" w:eastAsia="zh-CN" w:bidi="ar"/>
        </w:rPr>
        <w:t>二十</w:t>
      </w:r>
      <w:r>
        <w:rPr>
          <w:rFonts w:hint="default" w:ascii="楷体_GB2312" w:hAnsi="楷体_GB2312" w:eastAsia="楷体_GB2312" w:cs="楷体_GB2312"/>
          <w:b/>
          <w:bCs/>
          <w:i w:val="0"/>
          <w:iCs w:val="0"/>
          <w:caps w:val="0"/>
          <w:color w:val="auto"/>
          <w:spacing w:val="0"/>
          <w:kern w:val="0"/>
          <w:sz w:val="32"/>
          <w:szCs w:val="32"/>
          <w:u w:val="none"/>
          <w:shd w:val="clear" w:fill="FFFFFF"/>
          <w:lang w:val="en-US" w:eastAsia="zh-CN" w:bidi="ar"/>
        </w:rPr>
        <w:t>条</w:t>
      </w:r>
      <w:r>
        <w:rPr>
          <w:rFonts w:hint="default" w:ascii="仿宋_GB2312" w:hAnsi="仿宋_GB2312" w:eastAsia="仿宋_GB2312" w:cs="仿宋_GB2312"/>
          <w:i w:val="0"/>
          <w:iCs w:val="0"/>
          <w:caps w:val="0"/>
          <w:color w:val="auto"/>
          <w:spacing w:val="0"/>
          <w:kern w:val="0"/>
          <w:sz w:val="32"/>
          <w:szCs w:val="32"/>
          <w:u w:val="none"/>
          <w:shd w:val="clear" w:fill="FFFFFF"/>
          <w:lang w:val="en-US" w:eastAsia="zh-CN" w:bidi="ar"/>
        </w:rPr>
        <w:t xml:space="preserve"> 本办法自发布之日起施行，由教务处负责解释。</w:t>
      </w:r>
    </w:p>
    <w:p>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b/>
          <w:bCs/>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lang w:val="en-US" w:eastAsia="zh-CN"/>
        </w:rPr>
      </w:pPr>
      <w:bookmarkStart w:id="0" w:name="_GoBack"/>
      <w:bookmarkEnd w:id="0"/>
    </w:p>
    <w:sectPr>
      <w:pgSz w:w="11906" w:h="16838"/>
      <w:pgMar w:top="2098" w:right="1474" w:bottom="1984"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YzU5ZTZiMTIwNDc1Yjk2ZDFjYTNhYWQ0YzZkMWIifQ=="/>
  </w:docVars>
  <w:rsids>
    <w:rsidRoot w:val="5EBC4E14"/>
    <w:rsid w:val="01950913"/>
    <w:rsid w:val="0213766F"/>
    <w:rsid w:val="02E2649D"/>
    <w:rsid w:val="03174F3D"/>
    <w:rsid w:val="035D6DC5"/>
    <w:rsid w:val="03C9092D"/>
    <w:rsid w:val="04966335"/>
    <w:rsid w:val="08F5187C"/>
    <w:rsid w:val="09B94F9F"/>
    <w:rsid w:val="09F74B6A"/>
    <w:rsid w:val="0A486323"/>
    <w:rsid w:val="0A534E0F"/>
    <w:rsid w:val="0A7C0731"/>
    <w:rsid w:val="0C475CE7"/>
    <w:rsid w:val="0C880C59"/>
    <w:rsid w:val="0D4445A0"/>
    <w:rsid w:val="0F550FDD"/>
    <w:rsid w:val="0FF07241"/>
    <w:rsid w:val="116010A2"/>
    <w:rsid w:val="11C672A5"/>
    <w:rsid w:val="13347445"/>
    <w:rsid w:val="139A7BF0"/>
    <w:rsid w:val="154C6501"/>
    <w:rsid w:val="16294BEB"/>
    <w:rsid w:val="17556E75"/>
    <w:rsid w:val="183879D7"/>
    <w:rsid w:val="19DA170E"/>
    <w:rsid w:val="1A1678A4"/>
    <w:rsid w:val="1AA675F1"/>
    <w:rsid w:val="1BF12377"/>
    <w:rsid w:val="1F1D7927"/>
    <w:rsid w:val="20D44015"/>
    <w:rsid w:val="2212752E"/>
    <w:rsid w:val="227930C6"/>
    <w:rsid w:val="23C0078A"/>
    <w:rsid w:val="24B369D8"/>
    <w:rsid w:val="25015F9F"/>
    <w:rsid w:val="261D1FBA"/>
    <w:rsid w:val="271B7282"/>
    <w:rsid w:val="27EA7440"/>
    <w:rsid w:val="2A2102CB"/>
    <w:rsid w:val="2AD76BDC"/>
    <w:rsid w:val="2C6023A6"/>
    <w:rsid w:val="2CBF5B79"/>
    <w:rsid w:val="2CD31625"/>
    <w:rsid w:val="2CD86C3B"/>
    <w:rsid w:val="2DAD1E76"/>
    <w:rsid w:val="2ECE71D8"/>
    <w:rsid w:val="300F1EE7"/>
    <w:rsid w:val="31AB2B70"/>
    <w:rsid w:val="32193F7E"/>
    <w:rsid w:val="322748ED"/>
    <w:rsid w:val="333C359F"/>
    <w:rsid w:val="33690F44"/>
    <w:rsid w:val="34C409E9"/>
    <w:rsid w:val="35942E0F"/>
    <w:rsid w:val="35966BC6"/>
    <w:rsid w:val="36C32DB0"/>
    <w:rsid w:val="3736713B"/>
    <w:rsid w:val="382153E4"/>
    <w:rsid w:val="392F6897"/>
    <w:rsid w:val="39463543"/>
    <w:rsid w:val="397464A8"/>
    <w:rsid w:val="39A54017"/>
    <w:rsid w:val="3B4D02BA"/>
    <w:rsid w:val="3BE5643A"/>
    <w:rsid w:val="3BF863A0"/>
    <w:rsid w:val="3C762309"/>
    <w:rsid w:val="3D607AF5"/>
    <w:rsid w:val="3EF23B8C"/>
    <w:rsid w:val="3F214472"/>
    <w:rsid w:val="3F4168C2"/>
    <w:rsid w:val="40EF735F"/>
    <w:rsid w:val="42EA4F50"/>
    <w:rsid w:val="44953D4A"/>
    <w:rsid w:val="452F695C"/>
    <w:rsid w:val="45462923"/>
    <w:rsid w:val="46CB21F7"/>
    <w:rsid w:val="47A9646A"/>
    <w:rsid w:val="49457EDE"/>
    <w:rsid w:val="496D5882"/>
    <w:rsid w:val="49C66341"/>
    <w:rsid w:val="4B307F16"/>
    <w:rsid w:val="4D355CB8"/>
    <w:rsid w:val="4D44414D"/>
    <w:rsid w:val="4F6D31FB"/>
    <w:rsid w:val="4F7A20A8"/>
    <w:rsid w:val="506F328F"/>
    <w:rsid w:val="52A74E38"/>
    <w:rsid w:val="53F02939"/>
    <w:rsid w:val="54D577D1"/>
    <w:rsid w:val="59B470DD"/>
    <w:rsid w:val="5CA26954"/>
    <w:rsid w:val="5CB318A3"/>
    <w:rsid w:val="5CC40179"/>
    <w:rsid w:val="5D3C3D86"/>
    <w:rsid w:val="5E1C5A8A"/>
    <w:rsid w:val="5EBC4E14"/>
    <w:rsid w:val="5F661D01"/>
    <w:rsid w:val="5FBE4CF1"/>
    <w:rsid w:val="62D13935"/>
    <w:rsid w:val="63724157"/>
    <w:rsid w:val="649C71E4"/>
    <w:rsid w:val="65C37254"/>
    <w:rsid w:val="68264723"/>
    <w:rsid w:val="69011432"/>
    <w:rsid w:val="691427CE"/>
    <w:rsid w:val="6B0E68F2"/>
    <w:rsid w:val="6B4C7A9D"/>
    <w:rsid w:val="6B546244"/>
    <w:rsid w:val="6B686223"/>
    <w:rsid w:val="6C3C6B8F"/>
    <w:rsid w:val="6D3474F9"/>
    <w:rsid w:val="6ECC3C23"/>
    <w:rsid w:val="6FAF4FFE"/>
    <w:rsid w:val="7043156F"/>
    <w:rsid w:val="70E45F8B"/>
    <w:rsid w:val="725B146D"/>
    <w:rsid w:val="73506AF8"/>
    <w:rsid w:val="73677573"/>
    <w:rsid w:val="73D414D7"/>
    <w:rsid w:val="74BB57E7"/>
    <w:rsid w:val="74C0380A"/>
    <w:rsid w:val="75AD1FE0"/>
    <w:rsid w:val="766567DD"/>
    <w:rsid w:val="766C3AE0"/>
    <w:rsid w:val="76E1759D"/>
    <w:rsid w:val="774B1B52"/>
    <w:rsid w:val="779C14E3"/>
    <w:rsid w:val="79314655"/>
    <w:rsid w:val="7A1F7224"/>
    <w:rsid w:val="7C2D6A8D"/>
    <w:rsid w:val="7C7C0472"/>
    <w:rsid w:val="7C922C87"/>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40" w:lineRule="exact"/>
      <w:ind w:firstLine="880" w:firstLineChars="200"/>
      <w:jc w:val="left"/>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autoRedefine/>
    <w:qFormat/>
    <w:uiPriority w:val="0"/>
    <w:pPr>
      <w:ind w:firstLine="880" w:firstLineChars="200"/>
    </w:pPr>
    <w:rPr>
      <w:rFonts w:ascii="Calibri" w:hAnsi="Calibri" w:eastAsia="仿宋_GB2312"/>
      <w:kern w:val="0"/>
      <w:sz w:val="32"/>
      <w:szCs w:val="20"/>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2024-03-09T08:14:00Z</dcterms:created>
  <dc:creator>hn</dc:creator>
  <cp:lastModifiedBy>Administrator</cp:lastModifiedBy>
  <cp:lastPrinted>2024-03-21T00:31:00Z</cp:lastPrinted>
  <dcterms:modified xsi:type="dcterms:W3CDTF">2024-03-27T09:09:30Z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ED51FBAECC5441E99B2176EA8637C3B6_13</vt:lpwstr>
  </property>
</Properties>
</file>