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ind w:firstLine="0" w:firstLineChars="0"/>
        <w:jc w:val="center"/>
        <w:rPr>
          <w:rFonts w:ascii="Times New Roman" w:hAnsi="Times New Roman" w:eastAsia="仿宋"/>
          <w:color w:val="000000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三明学院应用型学科和硕士点培育经费报销审核单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ascii="Times New Roman" w:hAnsi="Times New Roman" w:eastAsia="仿宋"/>
          <w:color w:val="000000"/>
          <w:sz w:val="21"/>
          <w:szCs w:val="21"/>
        </w:rPr>
      </w:pPr>
      <w:bookmarkStart w:id="0" w:name="_GoBack"/>
      <w:bookmarkEnd w:id="0"/>
    </w:p>
    <w:p>
      <w:pPr>
        <w:pStyle w:val="5"/>
        <w:spacing w:line="380" w:lineRule="exact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财务编号：</w:t>
      </w:r>
    </w:p>
    <w:p>
      <w:pPr>
        <w:pStyle w:val="5"/>
        <w:spacing w:line="380" w:lineRule="exact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经费编号：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/>
          <w:color w:val="000000"/>
          <w:sz w:val="28"/>
          <w:szCs w:val="28"/>
        </w:rPr>
        <w:t>经费名称：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3150"/>
        <w:gridCol w:w="1534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31" w:type="dxa"/>
            <w:gridSpan w:val="2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经费支出科目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金额（元）</w:t>
            </w: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实验室和文献资料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科学研究的小型仪器设备购置及实验设施的建设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科学研究的专业软件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研究资料的购置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学科人才建设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短期进修和培训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学术交流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举办学术会议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参加省级以上学术会议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外请专家讲学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学术成果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核心以上期刊版面费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autoSpaceDE w:val="0"/>
              <w:autoSpaceDN w:val="0"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出版高水平专著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科研课题研究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省级以上课题及成果奖的申报、咨询、评审、成果鉴定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专利申请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学科申报、评审、论证等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学科申报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专家评审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专家论证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学科平台建设、学科对外宣传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省级以上学科平台建设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学科对外宣传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restart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其它与学科建设相关的日常费用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办公用品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打印复印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查新、检索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  <w:vMerge w:val="continue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其他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1" w:type="dxa"/>
            <w:gridSpan w:val="2"/>
            <w:vAlign w:val="center"/>
          </w:tcPr>
          <w:p>
            <w:pPr>
              <w:pStyle w:val="5"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8"/>
                <w:szCs w:val="28"/>
              </w:rPr>
              <w:t>合计（元）</w:t>
            </w:r>
          </w:p>
        </w:tc>
        <w:tc>
          <w:tcPr>
            <w:tcW w:w="1534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pStyle w:val="5"/>
              <w:spacing w:line="380" w:lineRule="exact"/>
              <w:ind w:firstLine="420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0" w:firstLineChars="0"/>
        <w:textAlignment w:val="auto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5"/>
        <w:spacing w:line="380" w:lineRule="exact"/>
        <w:ind w:firstLine="0" w:firstLineChars="0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经办人（签字）：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/>
          <w:color w:val="000000"/>
          <w:sz w:val="28"/>
          <w:szCs w:val="28"/>
        </w:rPr>
        <w:t>学科负责人（签字）：</w:t>
      </w:r>
    </w:p>
    <w:p>
      <w:pPr>
        <w:pStyle w:val="5"/>
        <w:spacing w:line="380" w:lineRule="exact"/>
        <w:ind w:firstLine="0" w:firstLineChars="0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所在二级学院审批：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/>
          <w:color w:val="000000"/>
          <w:sz w:val="28"/>
          <w:szCs w:val="28"/>
        </w:rPr>
        <w:t>计划财务处审核：</w:t>
      </w:r>
    </w:p>
    <w:p>
      <w:pPr>
        <w:pStyle w:val="5"/>
        <w:spacing w:line="380" w:lineRule="exact"/>
        <w:ind w:firstLine="0" w:firstLineChars="0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教务处（学科建设办公室）审批：</w:t>
      </w:r>
    </w:p>
    <w:p>
      <w:pPr>
        <w:pStyle w:val="5"/>
        <w:spacing w:line="380" w:lineRule="exact"/>
        <w:ind w:firstLine="0" w:firstLineChars="0"/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分管校领导审批：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B57CA"/>
    <w:rsid w:val="6D0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4"/>
    <w:qFormat/>
    <w:uiPriority w:val="99"/>
    <w:pPr>
      <w:ind w:firstLine="200" w:firstLineChars="200"/>
    </w:pPr>
    <w:rPr>
      <w:rFonts w:ascii="仿宋_GB2312" w:eastAsia="仿宋_GB2312" w:cs="黑体"/>
      <w:sz w:val="32"/>
    </w:rPr>
  </w:style>
  <w:style w:type="paragraph" w:styleId="3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Body Text"/>
    <w:basedOn w:val="1"/>
    <w:uiPriority w:val="99"/>
    <w:pPr>
      <w:spacing w:line="336" w:lineRule="auto"/>
      <w:ind w:firstLine="64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2020-05-18T08:21:00Z</dcterms:created>
  <dc:creator>Administrator</dc:creator>
  <cp:lastModifiedBy>杨琳</cp:lastModifiedBy>
  <dcterms:modified xsi:type="dcterms:W3CDTF">2020-05-18T08:25:09Z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